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96D19" w14:textId="47CF8D9F" w:rsidR="009305A6" w:rsidRPr="00BA046F" w:rsidRDefault="009305A6" w:rsidP="009305A6">
      <w:pPr>
        <w:pStyle w:val="Heading1"/>
        <w:spacing w:before="0" w:line="240" w:lineRule="auto"/>
        <w:jc w:val="both"/>
      </w:pPr>
      <w:bookmarkStart w:id="0" w:name="_Toc17452919"/>
      <w:r>
        <w:t xml:space="preserve">Assignment </w:t>
      </w:r>
      <w:r>
        <w:t>5</w:t>
      </w:r>
      <w:r>
        <w:t>: Reflection on geotechnical engineering</w:t>
      </w:r>
      <w:bookmarkEnd w:id="0"/>
    </w:p>
    <w:p w14:paraId="2ECB5164" w14:textId="77777777" w:rsidR="009305A6" w:rsidRDefault="009305A6" w:rsidP="009305A6">
      <w:pPr>
        <w:jc w:val="both"/>
        <w:rPr>
          <w:szCs w:val="20"/>
        </w:rPr>
      </w:pPr>
      <w:r>
        <w:rPr>
          <w:szCs w:val="20"/>
        </w:rPr>
        <w:t>Copy paste the following questions and type your brief answers underneath them. As always, submit the work at the beginning of the class.</w:t>
      </w:r>
    </w:p>
    <w:p w14:paraId="48FE462A" w14:textId="77777777" w:rsidR="009305A6" w:rsidRDefault="009305A6" w:rsidP="009305A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>What was most interesting to you from the geotechnical engineering presentation? What was confusing to you in the presentation?</w:t>
      </w:r>
    </w:p>
    <w:p w14:paraId="5DD6951E" w14:textId="77777777" w:rsidR="009305A6" w:rsidRDefault="009305A6" w:rsidP="009305A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>Use what you learned from the presentation, the web, and engineer friends/relatives to come up with five examples of what a geotechnical engineer may analyze or design? Do any of these appeal to you?</w:t>
      </w:r>
    </w:p>
    <w:p w14:paraId="0C239444" w14:textId="77777777" w:rsidR="009305A6" w:rsidRDefault="009305A6" w:rsidP="009305A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Visit this website. Reflect on what you learned. </w:t>
      </w:r>
      <w:hyperlink r:id="rId5" w:history="1">
        <w:r>
          <w:rPr>
            <w:rStyle w:val="Hyperlink"/>
            <w:szCs w:val="20"/>
          </w:rPr>
          <w:t>http://www.issmge.org/en/</w:t>
        </w:r>
      </w:hyperlink>
    </w:p>
    <w:p w14:paraId="4BFBAB8D" w14:textId="77777777" w:rsidR="009305A6" w:rsidRDefault="009305A6" w:rsidP="009305A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 xml:space="preserve">ASCE has nine specialty institutes, one of which is Geo Institute. Visit this link and click on Geo-Institute: </w:t>
      </w:r>
      <w:hyperlink r:id="rId6" w:history="1">
        <w:r>
          <w:rPr>
            <w:rStyle w:val="Hyperlink"/>
            <w:szCs w:val="20"/>
          </w:rPr>
          <w:t>http://www.asce.org/institutes/</w:t>
        </w:r>
      </w:hyperlink>
      <w:r>
        <w:rPr>
          <w:szCs w:val="20"/>
        </w:rPr>
        <w:t xml:space="preserve">  Reflect on what you learned. </w:t>
      </w:r>
    </w:p>
    <w:p w14:paraId="10F11891" w14:textId="6EA6AF62" w:rsidR="009305A6" w:rsidRDefault="009305A6" w:rsidP="009305A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</w:pPr>
      <w:r>
        <w:rPr>
          <w:szCs w:val="20"/>
        </w:rPr>
        <w:t>Rank your current interest in geotechnical engineering with 1 being least interested and 5 being most interested. Explain your reasoning.</w:t>
      </w:r>
    </w:p>
    <w:p w14:paraId="2B233BD8" w14:textId="61CE7AEE" w:rsidR="001C65C8" w:rsidRDefault="00FA27D4" w:rsidP="00FA27D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Cs w:val="20"/>
        </w:rPr>
        <w:sectPr w:rsidR="001C65C8" w:rsidSect="00C837C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Cs w:val="20"/>
        </w:rPr>
        <w:t xml:space="preserve">Here are companies </w:t>
      </w:r>
      <w:r w:rsidR="001C65C8">
        <w:rPr>
          <w:szCs w:val="20"/>
        </w:rPr>
        <w:t xml:space="preserve">(see next page) </w:t>
      </w:r>
      <w:r>
        <w:rPr>
          <w:szCs w:val="20"/>
        </w:rPr>
        <w:t xml:space="preserve">that recently hired our students for civil/environmental engineering jobs. </w:t>
      </w:r>
      <w:r w:rsidR="003911FD">
        <w:rPr>
          <w:szCs w:val="20"/>
        </w:rPr>
        <w:t xml:space="preserve">You had already filled this table out for environmental engineering. Now, I am asking you to add info on geotechnical engineering. Fill out the table. You </w:t>
      </w:r>
      <w:proofErr w:type="gramStart"/>
      <w:r w:rsidR="003911FD">
        <w:rPr>
          <w:szCs w:val="20"/>
        </w:rPr>
        <w:t>can  copy</w:t>
      </w:r>
      <w:proofErr w:type="gramEnd"/>
      <w:r w:rsidR="003911FD">
        <w:rPr>
          <w:szCs w:val="20"/>
        </w:rPr>
        <w:t xml:space="preserve"> paste your earlier answers from the environmental engineering section and add on the new info for geotechnical engineering.</w:t>
      </w:r>
    </w:p>
    <w:p w14:paraId="4019EFC8" w14:textId="02845E53" w:rsidR="00FA27D4" w:rsidRDefault="00FA27D4" w:rsidP="003911FD">
      <w:pPr>
        <w:pStyle w:val="ListParagraph"/>
        <w:spacing w:after="200" w:line="276" w:lineRule="auto"/>
        <w:jc w:val="both"/>
        <w:rPr>
          <w:szCs w:val="20"/>
        </w:rPr>
      </w:pP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243"/>
        <w:gridCol w:w="567"/>
        <w:gridCol w:w="1415"/>
        <w:gridCol w:w="1800"/>
        <w:gridCol w:w="1800"/>
        <w:gridCol w:w="2520"/>
      </w:tblGrid>
      <w:tr w:rsidR="003911FD" w:rsidRPr="00A72332" w14:paraId="355C2498" w14:textId="77777777" w:rsidTr="00AA273A">
        <w:trPr>
          <w:cantSplit/>
          <w:trHeight w:hRule="exact" w:val="1134"/>
        </w:trPr>
        <w:tc>
          <w:tcPr>
            <w:tcW w:w="1080" w:type="dxa"/>
            <w:shd w:val="clear" w:color="auto" w:fill="auto"/>
            <w:noWrap/>
          </w:tcPr>
          <w:p w14:paraId="3E109310" w14:textId="77777777" w:rsidR="003911FD" w:rsidRPr="00A72332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A72332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Company</w:t>
            </w:r>
          </w:p>
        </w:tc>
        <w:tc>
          <w:tcPr>
            <w:tcW w:w="2243" w:type="dxa"/>
            <w:shd w:val="clear" w:color="auto" w:fill="auto"/>
            <w:noWrap/>
          </w:tcPr>
          <w:p w14:paraId="1CE6AAA0" w14:textId="77777777" w:rsidR="003911FD" w:rsidRPr="00A72332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 w:rsidRPr="00A72332"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Web Address</w:t>
            </w:r>
          </w:p>
        </w:tc>
        <w:tc>
          <w:tcPr>
            <w:tcW w:w="567" w:type="dxa"/>
            <w:textDirection w:val="btLr"/>
          </w:tcPr>
          <w:p w14:paraId="582C7F7C" w14:textId="77777777" w:rsidR="003911FD" w:rsidRPr="00A72332" w:rsidRDefault="003911FD" w:rsidP="003911F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 w:rsidRPr="00A72332"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Environmental engineering</w:t>
            </w: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?</w:t>
            </w:r>
          </w:p>
        </w:tc>
        <w:tc>
          <w:tcPr>
            <w:tcW w:w="1415" w:type="dxa"/>
            <w:textDirection w:val="btLr"/>
          </w:tcPr>
          <w:p w14:paraId="3E239D33" w14:textId="77777777" w:rsidR="003911FD" w:rsidRPr="00A72332" w:rsidRDefault="003911FD" w:rsidP="003911F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What type of environmental work?</w:t>
            </w:r>
          </w:p>
        </w:tc>
        <w:tc>
          <w:tcPr>
            <w:tcW w:w="1800" w:type="dxa"/>
            <w:textDirection w:val="btLr"/>
          </w:tcPr>
          <w:p w14:paraId="0913FBB1" w14:textId="58CBC38D" w:rsidR="003911FD" w:rsidRDefault="003911FD" w:rsidP="003911F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Geotechnical engineering?</w:t>
            </w:r>
          </w:p>
        </w:tc>
        <w:tc>
          <w:tcPr>
            <w:tcW w:w="1800" w:type="dxa"/>
            <w:textDirection w:val="btLr"/>
          </w:tcPr>
          <w:p w14:paraId="5789E130" w14:textId="31ECFF16" w:rsidR="003911FD" w:rsidRDefault="003911FD" w:rsidP="003911F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What type of geotechnical work?</w:t>
            </w:r>
          </w:p>
        </w:tc>
        <w:tc>
          <w:tcPr>
            <w:tcW w:w="2520" w:type="dxa"/>
            <w:textDirection w:val="btLr"/>
          </w:tcPr>
          <w:p w14:paraId="77528F9B" w14:textId="2CE4908B" w:rsidR="003911FD" w:rsidRDefault="003911FD" w:rsidP="003911F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0563C1"/>
                <w:sz w:val="14"/>
                <w:szCs w:val="14"/>
              </w:rPr>
              <w:t>Does this company currently interest you?</w:t>
            </w:r>
          </w:p>
        </w:tc>
      </w:tr>
      <w:tr w:rsidR="003911FD" w:rsidRPr="003D15E5" w14:paraId="1937AEAA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2AF4BBA7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American Bridge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09CFC6BE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7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https://www.americanbridge.net/</w:t>
              </w:r>
            </w:hyperlink>
          </w:p>
        </w:tc>
        <w:tc>
          <w:tcPr>
            <w:tcW w:w="567" w:type="dxa"/>
          </w:tcPr>
          <w:p w14:paraId="03082F09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6C010EBC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35C81702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0AA4A5F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7F9F316A" w14:textId="007E8468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3FDE9181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08346CAE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Arcadis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5E39F62C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8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https://www.arcadis.com/</w:t>
              </w:r>
            </w:hyperlink>
          </w:p>
        </w:tc>
        <w:tc>
          <w:tcPr>
            <w:tcW w:w="567" w:type="dxa"/>
          </w:tcPr>
          <w:p w14:paraId="70A5E134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26BD8553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836EDA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A63076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FB07753" w14:textId="01A60D90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7F1BBED7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5880E059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Applied Environmental Solutions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632B920B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9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https://www.appliedenv.com/</w:t>
              </w:r>
            </w:hyperlink>
          </w:p>
        </w:tc>
        <w:tc>
          <w:tcPr>
            <w:tcW w:w="567" w:type="dxa"/>
          </w:tcPr>
          <w:p w14:paraId="198E966D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0E2D92B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6D5E5A3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E188B5A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05614188" w14:textId="352B6D9A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4C1FB968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66754666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Army Corp of Engineers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3C1AA07B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0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https://www.usace.army.mil/</w:t>
              </w:r>
            </w:hyperlink>
          </w:p>
        </w:tc>
        <w:tc>
          <w:tcPr>
            <w:tcW w:w="567" w:type="dxa"/>
          </w:tcPr>
          <w:p w14:paraId="648B57F6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50BA6AEF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66D564EB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A8E490B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1AA52240" w14:textId="22CF020C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530EB93E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7818A18C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Baker Concrete Construction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63FA5EBC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1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https://bakerconcrete.com/</w:t>
              </w:r>
            </w:hyperlink>
          </w:p>
        </w:tc>
        <w:tc>
          <w:tcPr>
            <w:tcW w:w="567" w:type="dxa"/>
          </w:tcPr>
          <w:p w14:paraId="17113B46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0B1BB244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A84959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D47D234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0929945" w14:textId="290C05D0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39E601E0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76E55CCE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Beaver Excavating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58265082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2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https://www.beaverexcavating.com/</w:t>
              </w:r>
            </w:hyperlink>
          </w:p>
        </w:tc>
        <w:tc>
          <w:tcPr>
            <w:tcW w:w="567" w:type="dxa"/>
          </w:tcPr>
          <w:p w14:paraId="50EB66DD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1D60BBE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B07F5AA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46EAD1F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3B8D6199" w14:textId="4A485842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3A3E917D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47E2B94E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Danis</w:t>
            </w:r>
            <w:proofErr w:type="spellEnd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5FEBB163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3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 xml:space="preserve">https://www.danis.com/ </w:t>
              </w:r>
            </w:hyperlink>
          </w:p>
        </w:tc>
        <w:tc>
          <w:tcPr>
            <w:tcW w:w="567" w:type="dxa"/>
          </w:tcPr>
          <w:p w14:paraId="70010AD0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308C452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5AFE28E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39C3E86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32607A3F" w14:textId="2310B92A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41C0DF3E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0D6030A5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Douglas Company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3E36E150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4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https://www.douglascompany.com/</w:t>
              </w:r>
            </w:hyperlink>
          </w:p>
        </w:tc>
        <w:tc>
          <w:tcPr>
            <w:tcW w:w="567" w:type="dxa"/>
          </w:tcPr>
          <w:p w14:paraId="5A6E9CD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6082E733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600C3BC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6BA4545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18EC713D" w14:textId="4F863B78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6049A0E9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1F411C33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EPA – Environmental Protection Agency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FE39FBB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5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https://www.epa.gov/</w:t>
              </w:r>
            </w:hyperlink>
          </w:p>
        </w:tc>
        <w:tc>
          <w:tcPr>
            <w:tcW w:w="567" w:type="dxa"/>
          </w:tcPr>
          <w:p w14:paraId="7A737C2E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3B6FFA34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DA0027B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0180454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51DE82B8" w14:textId="1C8E7480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60661D7B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03AF0335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Jones and Henry Engineers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6C1AC5B1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6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https://jheng.com/</w:t>
              </w:r>
            </w:hyperlink>
          </w:p>
        </w:tc>
        <w:tc>
          <w:tcPr>
            <w:tcW w:w="567" w:type="dxa"/>
          </w:tcPr>
          <w:p w14:paraId="5A1F1567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585053A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8866335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8C643AF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0B268918" w14:textId="17CFC506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24086F76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</w:tcPr>
          <w:p w14:paraId="4885E7A0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D15E5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Hull and Associates</w:t>
            </w:r>
          </w:p>
        </w:tc>
        <w:tc>
          <w:tcPr>
            <w:tcW w:w="2243" w:type="dxa"/>
            <w:shd w:val="clear" w:color="auto" w:fill="auto"/>
            <w:noWrap/>
          </w:tcPr>
          <w:p w14:paraId="5413CD33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r w:rsidRPr="003D15E5"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  <w:t>https://hullinc.com/</w:t>
            </w:r>
          </w:p>
        </w:tc>
        <w:tc>
          <w:tcPr>
            <w:tcW w:w="567" w:type="dxa"/>
          </w:tcPr>
          <w:p w14:paraId="16B402D5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12DD6F09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234AFD7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41FB71A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53F974F3" w14:textId="7967F49A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26117284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72A8CBE5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Kokosing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50A2FBB6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7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https://www.kokosing.biz/</w:t>
              </w:r>
            </w:hyperlink>
          </w:p>
        </w:tc>
        <w:tc>
          <w:tcPr>
            <w:tcW w:w="567" w:type="dxa"/>
          </w:tcPr>
          <w:p w14:paraId="179F6823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596AB339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B339FDE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F9178C2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6D6A677F" w14:textId="22158B65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078CBA0C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066303B4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Kiewit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F91CA63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8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https://kiewitcareers.kiewit.com/</w:t>
              </w:r>
            </w:hyperlink>
          </w:p>
        </w:tc>
        <w:tc>
          <w:tcPr>
            <w:tcW w:w="567" w:type="dxa"/>
          </w:tcPr>
          <w:p w14:paraId="370E0212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2F7238AB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1E4EA9D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E8EC026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BF4C094" w14:textId="23974DC2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7CA15A2A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3CCA0E64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Langan</w:t>
            </w:r>
            <w:proofErr w:type="spellEnd"/>
          </w:p>
        </w:tc>
        <w:tc>
          <w:tcPr>
            <w:tcW w:w="2243" w:type="dxa"/>
            <w:shd w:val="clear" w:color="auto" w:fill="auto"/>
            <w:noWrap/>
            <w:hideMark/>
          </w:tcPr>
          <w:p w14:paraId="2E96D65D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19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https://www.langan.com/</w:t>
              </w:r>
            </w:hyperlink>
          </w:p>
        </w:tc>
        <w:tc>
          <w:tcPr>
            <w:tcW w:w="567" w:type="dxa"/>
          </w:tcPr>
          <w:p w14:paraId="6BAA84ED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07BA5B75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60DA3C8A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60CCA996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13534596" w14:textId="5C0C595A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3EA3DDC6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550CF2D2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Lathrop Turner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6CCC3BFA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0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http://www.turnerconstruction.com/</w:t>
              </w:r>
            </w:hyperlink>
          </w:p>
        </w:tc>
        <w:tc>
          <w:tcPr>
            <w:tcW w:w="567" w:type="dxa"/>
          </w:tcPr>
          <w:p w14:paraId="7225CFEB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2FA64C0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F46A9EF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61BA98F3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19BE8FEB" w14:textId="185A7802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20BC4249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2F7FBFA2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Marathon Petroleum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52E7875C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1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https://www.marathonpetroleum.com/</w:t>
              </w:r>
            </w:hyperlink>
          </w:p>
        </w:tc>
        <w:tc>
          <w:tcPr>
            <w:tcW w:w="567" w:type="dxa"/>
          </w:tcPr>
          <w:p w14:paraId="1740C8A3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2B5DE47E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A6EBCC3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3FAFE6D7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C136FFE" w14:textId="0991F6A6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5F1DFB24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7147AA48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Mannik</w:t>
            </w:r>
            <w:proofErr w:type="spellEnd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and Smith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655C7C19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2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https://manniksmithgroup.com/</w:t>
              </w:r>
            </w:hyperlink>
          </w:p>
        </w:tc>
        <w:tc>
          <w:tcPr>
            <w:tcW w:w="567" w:type="dxa"/>
          </w:tcPr>
          <w:p w14:paraId="2811B34F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4A18AA93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E7C6147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E85571A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2F54B12E" w14:textId="4FD376E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70A55730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1C386E38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Matrix Technologies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3BE92187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3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https://matrixti.com/</w:t>
              </w:r>
            </w:hyperlink>
          </w:p>
        </w:tc>
        <w:tc>
          <w:tcPr>
            <w:tcW w:w="567" w:type="dxa"/>
          </w:tcPr>
          <w:p w14:paraId="79B800F2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23093A0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30F80770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13F84B9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3402F608" w14:textId="7C0B1C09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4669941A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120EB4D1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Messer Construction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593B6A73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4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https://www.messer.com/</w:t>
              </w:r>
            </w:hyperlink>
          </w:p>
        </w:tc>
        <w:tc>
          <w:tcPr>
            <w:tcW w:w="567" w:type="dxa"/>
          </w:tcPr>
          <w:p w14:paraId="576FA447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0FE2436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3F29CBE7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887DC00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60C02573" w14:textId="08B7A6D5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2C2EA97B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5B6395CA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ODOT – Ohio Department of Transportation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16765940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5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https://www.transportation.ohio.gov/</w:t>
              </w:r>
            </w:hyperlink>
          </w:p>
        </w:tc>
        <w:tc>
          <w:tcPr>
            <w:tcW w:w="567" w:type="dxa"/>
          </w:tcPr>
          <w:p w14:paraId="554AB12F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2D7C361C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A531BB6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051B808C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1134A871" w14:textId="484E7641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57EFDD44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15289087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Powers Engineers 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503D5166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6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https://www.powereng.com/</w:t>
              </w:r>
            </w:hyperlink>
          </w:p>
        </w:tc>
        <w:tc>
          <w:tcPr>
            <w:tcW w:w="567" w:type="dxa"/>
          </w:tcPr>
          <w:p w14:paraId="5B68A566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589E10BF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675A0B28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57D6102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42F54F4C" w14:textId="0A3384E1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309DCBF0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28085E8F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Rudolph </w:t>
            </w:r>
            <w:proofErr w:type="spellStart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Libbe</w:t>
            </w:r>
            <w:proofErr w:type="spellEnd"/>
          </w:p>
        </w:tc>
        <w:tc>
          <w:tcPr>
            <w:tcW w:w="2243" w:type="dxa"/>
            <w:shd w:val="clear" w:color="auto" w:fill="auto"/>
            <w:noWrap/>
            <w:hideMark/>
          </w:tcPr>
          <w:p w14:paraId="64205A28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7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https://rlgbuilds.com/</w:t>
              </w:r>
            </w:hyperlink>
          </w:p>
        </w:tc>
        <w:tc>
          <w:tcPr>
            <w:tcW w:w="567" w:type="dxa"/>
          </w:tcPr>
          <w:p w14:paraId="482F91F0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63FE831F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79CB40DC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2FF303D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35F91B6C" w14:textId="71855448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2D8CD907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30A57787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SME 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56E73881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8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https://www.sme-usa.com/</w:t>
              </w:r>
            </w:hyperlink>
          </w:p>
        </w:tc>
        <w:tc>
          <w:tcPr>
            <w:tcW w:w="567" w:type="dxa"/>
          </w:tcPr>
          <w:p w14:paraId="7F6F8B1F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539116E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5AA31590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1F8469AD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295E9BD4" w14:textId="20A61BC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0E1687B3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0F6EA030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Tetra Tech 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2203FF39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29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>https://www.tetratech.com/</w:t>
              </w:r>
            </w:hyperlink>
          </w:p>
        </w:tc>
        <w:tc>
          <w:tcPr>
            <w:tcW w:w="567" w:type="dxa"/>
          </w:tcPr>
          <w:p w14:paraId="0E62E083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024BBAEA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21F04F9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5E37E7B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2E4E54C3" w14:textId="08873406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  <w:tr w:rsidR="003911FD" w:rsidRPr="003D15E5" w14:paraId="01473CB4" w14:textId="77777777" w:rsidTr="00AA273A">
        <w:trPr>
          <w:trHeight w:hRule="exact" w:val="216"/>
        </w:trPr>
        <w:tc>
          <w:tcPr>
            <w:tcW w:w="1080" w:type="dxa"/>
            <w:shd w:val="clear" w:color="auto" w:fill="auto"/>
            <w:noWrap/>
            <w:hideMark/>
          </w:tcPr>
          <w:p w14:paraId="116093C1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Tyme</w:t>
            </w:r>
            <w:proofErr w:type="spellEnd"/>
            <w:r w:rsidRPr="007B415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Engineering </w:t>
            </w:r>
          </w:p>
        </w:tc>
        <w:tc>
          <w:tcPr>
            <w:tcW w:w="2243" w:type="dxa"/>
            <w:shd w:val="clear" w:color="auto" w:fill="auto"/>
            <w:noWrap/>
            <w:hideMark/>
          </w:tcPr>
          <w:p w14:paraId="41110FA8" w14:textId="77777777" w:rsidR="003911FD" w:rsidRPr="007B4158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  <w:hyperlink r:id="rId30" w:history="1">
              <w:r w:rsidRPr="007B4158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</w:rPr>
                <w:t xml:space="preserve">https://tymeengineering.com/ </w:t>
              </w:r>
            </w:hyperlink>
          </w:p>
        </w:tc>
        <w:tc>
          <w:tcPr>
            <w:tcW w:w="567" w:type="dxa"/>
          </w:tcPr>
          <w:p w14:paraId="469270E1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415" w:type="dxa"/>
          </w:tcPr>
          <w:p w14:paraId="7B014133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3BE571BB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1800" w:type="dxa"/>
          </w:tcPr>
          <w:p w14:paraId="4885BDFD" w14:textId="77777777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  <w:tc>
          <w:tcPr>
            <w:tcW w:w="2520" w:type="dxa"/>
          </w:tcPr>
          <w:p w14:paraId="7A2F3D15" w14:textId="0389621E" w:rsidR="003911FD" w:rsidRPr="003D15E5" w:rsidRDefault="003911FD" w:rsidP="003911F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</w:rPr>
            </w:pPr>
          </w:p>
        </w:tc>
      </w:tr>
    </w:tbl>
    <w:p w14:paraId="24F0726D" w14:textId="77777777" w:rsidR="00FA27D4" w:rsidRPr="00875C76" w:rsidRDefault="00FA27D4" w:rsidP="00FA27D4">
      <w:pPr>
        <w:pStyle w:val="ListParagraph"/>
        <w:spacing w:after="200" w:line="276" w:lineRule="auto"/>
        <w:jc w:val="both"/>
        <w:rPr>
          <w:b/>
          <w:bCs/>
          <w:szCs w:val="20"/>
        </w:rPr>
      </w:pPr>
    </w:p>
    <w:p w14:paraId="37627972" w14:textId="77777777" w:rsidR="00FA27D4" w:rsidRDefault="00FA27D4" w:rsidP="00FA27D4"/>
    <w:p w14:paraId="0BA3230A" w14:textId="77777777" w:rsidR="00FA27D4" w:rsidRPr="00FA27D4" w:rsidRDefault="00FA27D4" w:rsidP="00FA27D4">
      <w:pPr>
        <w:spacing w:after="200" w:line="276" w:lineRule="auto"/>
        <w:jc w:val="both"/>
        <w:rPr>
          <w:szCs w:val="20"/>
        </w:rPr>
      </w:pPr>
    </w:p>
    <w:p w14:paraId="73F3EFE3" w14:textId="77777777" w:rsidR="00FA112B" w:rsidRDefault="00AA273A"/>
    <w:sectPr w:rsidR="00FA112B" w:rsidSect="003911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735D4"/>
    <w:multiLevelType w:val="hybridMultilevel"/>
    <w:tmpl w:val="9554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C03C4"/>
    <w:multiLevelType w:val="hybridMultilevel"/>
    <w:tmpl w:val="9554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A6"/>
    <w:rsid w:val="001C65C8"/>
    <w:rsid w:val="003911FD"/>
    <w:rsid w:val="00394CAD"/>
    <w:rsid w:val="009305A6"/>
    <w:rsid w:val="0097457F"/>
    <w:rsid w:val="00AA273A"/>
    <w:rsid w:val="00C837C6"/>
    <w:rsid w:val="00FA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0BC97"/>
  <w15:chartTrackingRefBased/>
  <w15:docId w15:val="{F8D15793-E2B8-9447-B7E2-351A93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A6"/>
    <w:pPr>
      <w:spacing w:after="160" w:line="259" w:lineRule="auto"/>
    </w:pPr>
    <w:rPr>
      <w:sz w:val="20"/>
      <w:szCs w:val="22"/>
    </w:rPr>
  </w:style>
  <w:style w:type="paragraph" w:styleId="Heading1">
    <w:name w:val="heading 1"/>
    <w:basedOn w:val="Normal"/>
    <w:next w:val="Normal"/>
    <w:link w:val="Heading1Char"/>
    <w:qFormat/>
    <w:rsid w:val="009305A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05A6"/>
    <w:rPr>
      <w:rFonts w:ascii="Calibri" w:eastAsiaTheme="majorEastAsia" w:hAnsi="Calibr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305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adis.com/" TargetMode="External"/><Relationship Id="rId13" Type="http://schemas.openxmlformats.org/officeDocument/2006/relationships/hyperlink" Target="https://www.danis.com/" TargetMode="External"/><Relationship Id="rId18" Type="http://schemas.openxmlformats.org/officeDocument/2006/relationships/hyperlink" Target="https://kiewitcareers.kiewit.com/" TargetMode="External"/><Relationship Id="rId26" Type="http://schemas.openxmlformats.org/officeDocument/2006/relationships/hyperlink" Target="https://www.poweren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rathonpetroleum.com/" TargetMode="External"/><Relationship Id="rId7" Type="http://schemas.openxmlformats.org/officeDocument/2006/relationships/hyperlink" Target="https://www.americanbridge.net/" TargetMode="External"/><Relationship Id="rId12" Type="http://schemas.openxmlformats.org/officeDocument/2006/relationships/hyperlink" Target="https://www.beaverexcavating.com/" TargetMode="External"/><Relationship Id="rId17" Type="http://schemas.openxmlformats.org/officeDocument/2006/relationships/hyperlink" Target="https://www.kokosing.biz/" TargetMode="External"/><Relationship Id="rId25" Type="http://schemas.openxmlformats.org/officeDocument/2006/relationships/hyperlink" Target="https://www.transportation.ohio.g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heng.com/" TargetMode="External"/><Relationship Id="rId20" Type="http://schemas.openxmlformats.org/officeDocument/2006/relationships/hyperlink" Target="http://www.turnerconstruction.com/" TargetMode="External"/><Relationship Id="rId29" Type="http://schemas.openxmlformats.org/officeDocument/2006/relationships/hyperlink" Target="https://www.tetratech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ce.org/institutes/" TargetMode="External"/><Relationship Id="rId11" Type="http://schemas.openxmlformats.org/officeDocument/2006/relationships/hyperlink" Target="https://bakerconcrete.com/" TargetMode="External"/><Relationship Id="rId24" Type="http://schemas.openxmlformats.org/officeDocument/2006/relationships/hyperlink" Target="https://www.messer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ssmge.org/en/" TargetMode="External"/><Relationship Id="rId15" Type="http://schemas.openxmlformats.org/officeDocument/2006/relationships/hyperlink" Target="https://www.epa.gov/" TargetMode="External"/><Relationship Id="rId23" Type="http://schemas.openxmlformats.org/officeDocument/2006/relationships/hyperlink" Target="https://matrixti.com/" TargetMode="External"/><Relationship Id="rId28" Type="http://schemas.openxmlformats.org/officeDocument/2006/relationships/hyperlink" Target="https://www.sme-usa.com/" TargetMode="External"/><Relationship Id="rId10" Type="http://schemas.openxmlformats.org/officeDocument/2006/relationships/hyperlink" Target="https://www.usace.army.mil/" TargetMode="External"/><Relationship Id="rId19" Type="http://schemas.openxmlformats.org/officeDocument/2006/relationships/hyperlink" Target="https://www.langan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ppliedenv.com/" TargetMode="External"/><Relationship Id="rId14" Type="http://schemas.openxmlformats.org/officeDocument/2006/relationships/hyperlink" Target="https://www.douglascompany.com/" TargetMode="External"/><Relationship Id="rId22" Type="http://schemas.openxmlformats.org/officeDocument/2006/relationships/hyperlink" Target="https://manniksmithgroup.com/" TargetMode="External"/><Relationship Id="rId27" Type="http://schemas.openxmlformats.org/officeDocument/2006/relationships/hyperlink" Target="https://rlgbuilds.com/" TargetMode="External"/><Relationship Id="rId30" Type="http://schemas.openxmlformats.org/officeDocument/2006/relationships/hyperlink" Target="https://tymeengineer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Apul, Defne</dc:creator>
  <cp:keywords/>
  <dc:description/>
  <cp:lastModifiedBy>Apul, Defne</cp:lastModifiedBy>
  <cp:revision>6</cp:revision>
  <dcterms:created xsi:type="dcterms:W3CDTF">2020-09-10T15:38:00Z</dcterms:created>
  <dcterms:modified xsi:type="dcterms:W3CDTF">2020-09-10T15:45:00Z</dcterms:modified>
</cp:coreProperties>
</file>