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90" w:rsidRDefault="008C1190" w:rsidP="006067E3">
      <w:pPr>
        <w:pStyle w:val="NormalWeb"/>
        <w:jc w:val="center"/>
        <w:rPr>
          <w:b/>
          <w:bCs/>
          <w:sz w:val="32"/>
          <w:u w:val="single"/>
        </w:rPr>
      </w:pPr>
      <w:r>
        <w:rPr>
          <w:b/>
          <w:bCs/>
          <w:u w:val="single"/>
        </w:rPr>
        <w:t xml:space="preserve">Assignment </w:t>
      </w:r>
      <w:r w:rsidR="00394D08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="00B873EA">
        <w:rPr>
          <w:b/>
          <w:bCs/>
          <w:u w:val="single"/>
        </w:rPr>
        <w:t xml:space="preserve">– </w:t>
      </w:r>
      <w:r w:rsidR="004156C4">
        <w:rPr>
          <w:b/>
          <w:bCs/>
          <w:u w:val="single"/>
        </w:rPr>
        <w:t>Historical Analysis</w:t>
      </w:r>
      <w:r w:rsidR="004F3DB3">
        <w:rPr>
          <w:b/>
          <w:bCs/>
          <w:u w:val="single"/>
        </w:rPr>
        <w:t xml:space="preserve"> (</w:t>
      </w:r>
      <w:r w:rsidR="004E58D2">
        <w:rPr>
          <w:b/>
          <w:bCs/>
          <w:u w:val="single"/>
        </w:rPr>
        <w:t>75</w:t>
      </w:r>
      <w:r w:rsidR="004F3DB3">
        <w:rPr>
          <w:b/>
          <w:bCs/>
          <w:u w:val="single"/>
        </w:rPr>
        <w:t xml:space="preserve"> points)</w:t>
      </w:r>
    </w:p>
    <w:p w:rsidR="00D77A48" w:rsidRPr="00E12A94" w:rsidRDefault="006067E3" w:rsidP="00B873EA">
      <w:pPr>
        <w:pStyle w:val="NormalWeb"/>
        <w:jc w:val="center"/>
        <w:rPr>
          <w:b/>
          <w:bCs/>
          <w:i/>
          <w:color w:val="FF0000"/>
          <w:u w:val="single"/>
        </w:rPr>
      </w:pPr>
      <w:r w:rsidRPr="00E12A94">
        <w:rPr>
          <w:b/>
          <w:bCs/>
          <w:i/>
          <w:color w:val="FF0000"/>
        </w:rPr>
        <w:t xml:space="preserve">YOU WILL SUBMIT THE SPREADSHEETS FROM CLASS THAT SUPPORT YOUR COMPANY’S HISTORICAL </w:t>
      </w:r>
      <w:r w:rsidR="00D77A48" w:rsidRPr="00E12A94">
        <w:rPr>
          <w:b/>
          <w:bCs/>
          <w:i/>
          <w:color w:val="FF0000"/>
        </w:rPr>
        <w:t>STATEMENTS AND</w:t>
      </w:r>
      <w:r w:rsidR="00A3342A" w:rsidRPr="00E12A94">
        <w:rPr>
          <w:b/>
          <w:bCs/>
          <w:i/>
          <w:color w:val="FF0000"/>
        </w:rPr>
        <w:t xml:space="preserve"> RATIOS IN EXCEL</w:t>
      </w:r>
      <w:r w:rsidR="00E12A94" w:rsidRPr="00E12A94">
        <w:rPr>
          <w:b/>
          <w:bCs/>
          <w:i/>
          <w:color w:val="FF0000"/>
        </w:rPr>
        <w:t>.</w:t>
      </w:r>
      <w:r w:rsidR="00E12A94" w:rsidRPr="00E12A94">
        <w:rPr>
          <w:b/>
          <w:bCs/>
          <w:i/>
          <w:color w:val="FF0000"/>
          <w:u w:val="single"/>
        </w:rPr>
        <w:t xml:space="preserve"> This is a second attempt to get the spreadsheets correct if there were issues from Classwork 4.</w:t>
      </w:r>
    </w:p>
    <w:p w:rsidR="006067E3" w:rsidRPr="00792ABA" w:rsidRDefault="00E12A94" w:rsidP="00B873EA">
      <w:pPr>
        <w:pStyle w:val="NormalWeb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IN YOUR OUTLINE CREATED IN HOMEWORK 1, </w:t>
      </w:r>
      <w:r w:rsidR="00D77A48">
        <w:rPr>
          <w:b/>
          <w:bCs/>
          <w:i/>
          <w:u w:val="single"/>
        </w:rPr>
        <w:t>SUBMIT</w:t>
      </w:r>
      <w:r w:rsidR="006067E3" w:rsidRPr="00792ABA">
        <w:rPr>
          <w:b/>
          <w:bCs/>
          <w:i/>
          <w:u w:val="single"/>
        </w:rPr>
        <w:t xml:space="preserve"> </w:t>
      </w:r>
      <w:r w:rsidR="00D77A48">
        <w:rPr>
          <w:b/>
          <w:bCs/>
          <w:i/>
          <w:u w:val="single"/>
        </w:rPr>
        <w:t xml:space="preserve">YOUR FINAL PROJECT CONTAINING EACH TABLE FOLLOWED BY THE ANALYSIS FOR THAT TABLE AND SECTION.  </w:t>
      </w:r>
      <w:r w:rsidR="007B57BC">
        <w:rPr>
          <w:b/>
          <w:bCs/>
          <w:u w:val="single"/>
        </w:rPr>
        <w:t>INDIVIDUAL WORK IS ONLY ACCCEPTABLE.</w:t>
      </w:r>
    </w:p>
    <w:p w:rsidR="00094263" w:rsidRDefault="004156C4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You are to complete a </w:t>
      </w:r>
      <w:r w:rsidRPr="004156C4">
        <w:rPr>
          <w:b/>
          <w:bCs/>
          <w:u w:val="single"/>
        </w:rPr>
        <w:t>five-year historical analysis</w:t>
      </w:r>
      <w:r>
        <w:rPr>
          <w:bCs/>
        </w:rPr>
        <w:t xml:space="preserve"> on your selected company</w:t>
      </w:r>
      <w:r w:rsidR="004E58D2">
        <w:rPr>
          <w:bCs/>
        </w:rPr>
        <w:t xml:space="preserve"> of the </w:t>
      </w:r>
      <w:r w:rsidR="0079569F">
        <w:rPr>
          <w:bCs/>
        </w:rPr>
        <w:t xml:space="preserve">most recent </w:t>
      </w:r>
      <w:r>
        <w:rPr>
          <w:bCs/>
        </w:rPr>
        <w:t>five years of data</w:t>
      </w:r>
      <w:r w:rsidR="00A761B5">
        <w:rPr>
          <w:bCs/>
        </w:rPr>
        <w:t xml:space="preserve"> in the spreadsheets for your company for </w:t>
      </w:r>
      <w:r>
        <w:rPr>
          <w:bCs/>
        </w:rPr>
        <w:t>the income statement, balance sheet</w:t>
      </w:r>
      <w:r w:rsidR="00D1779D">
        <w:rPr>
          <w:bCs/>
        </w:rPr>
        <w:t xml:space="preserve">, </w:t>
      </w:r>
      <w:r w:rsidR="00A761B5">
        <w:rPr>
          <w:bCs/>
        </w:rPr>
        <w:t>ratios</w:t>
      </w:r>
      <w:r w:rsidR="00D1779D">
        <w:rPr>
          <w:bCs/>
        </w:rPr>
        <w:t xml:space="preserve"> and segment analysis</w:t>
      </w:r>
      <w:r w:rsidR="004E58D2">
        <w:rPr>
          <w:bCs/>
        </w:rPr>
        <w:t xml:space="preserve"> plus three years for Segment Analysis</w:t>
      </w:r>
      <w:r>
        <w:rPr>
          <w:bCs/>
        </w:rPr>
        <w:t xml:space="preserve">.  </w:t>
      </w:r>
    </w:p>
    <w:p w:rsidR="00094263" w:rsidRDefault="00094263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p w:rsidR="006C62BF" w:rsidRDefault="00E12A94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Y</w:t>
      </w:r>
      <w:r w:rsidR="004156C4">
        <w:rPr>
          <w:bCs/>
        </w:rPr>
        <w:t xml:space="preserve">ou are to </w:t>
      </w:r>
      <w:r>
        <w:rPr>
          <w:bCs/>
        </w:rPr>
        <w:t>include</w:t>
      </w:r>
      <w:r w:rsidR="004156C4">
        <w:rPr>
          <w:bCs/>
        </w:rPr>
        <w:t xml:space="preserve"> a </w:t>
      </w:r>
      <w:r w:rsidR="005B457E" w:rsidRPr="005B457E">
        <w:rPr>
          <w:b/>
          <w:bCs/>
        </w:rPr>
        <w:t xml:space="preserve">table </w:t>
      </w:r>
      <w:r>
        <w:rPr>
          <w:b/>
          <w:bCs/>
        </w:rPr>
        <w:t xml:space="preserve">with industry averages </w:t>
      </w:r>
      <w:r w:rsidR="00BE322E">
        <w:rPr>
          <w:b/>
          <w:bCs/>
        </w:rPr>
        <w:t xml:space="preserve">that includes only the numbers and ratios below in a </w:t>
      </w:r>
      <w:r w:rsidR="004E58D2">
        <w:rPr>
          <w:b/>
          <w:bCs/>
        </w:rPr>
        <w:t>through c</w:t>
      </w:r>
      <w:r w:rsidR="00BE322E">
        <w:rPr>
          <w:b/>
          <w:bCs/>
        </w:rPr>
        <w:t xml:space="preserve"> </w:t>
      </w:r>
      <w:r w:rsidR="00CB2570">
        <w:rPr>
          <w:bCs/>
        </w:rPr>
        <w:t xml:space="preserve">and then </w:t>
      </w:r>
      <w:r>
        <w:rPr>
          <w:bCs/>
        </w:rPr>
        <w:t xml:space="preserve">heading for each ratio under discussion with a </w:t>
      </w:r>
      <w:r w:rsidR="004E58D2">
        <w:rPr>
          <w:bCs/>
        </w:rPr>
        <w:t xml:space="preserve">one to two </w:t>
      </w:r>
      <w:r>
        <w:rPr>
          <w:bCs/>
        </w:rPr>
        <w:t xml:space="preserve">paragraph of analysis for </w:t>
      </w:r>
      <w:r w:rsidR="00CB2570">
        <w:rPr>
          <w:bCs/>
        </w:rPr>
        <w:t xml:space="preserve">the areas listed below.  </w:t>
      </w:r>
      <w:r>
        <w:rPr>
          <w:bCs/>
        </w:rPr>
        <w:t xml:space="preserve">The ratios must come from your historical ratio spreadsheet for your company and should be similar to classwork </w:t>
      </w:r>
      <w:r w:rsidR="004E58D2">
        <w:rPr>
          <w:bCs/>
        </w:rPr>
        <w:t>3</w:t>
      </w:r>
      <w:r>
        <w:rPr>
          <w:bCs/>
        </w:rPr>
        <w:t xml:space="preserve">. </w:t>
      </w:r>
      <w:r w:rsidR="00D1779D">
        <w:rPr>
          <w:bCs/>
        </w:rPr>
        <w:t xml:space="preserve">After reviewing </w:t>
      </w:r>
      <w:r>
        <w:rPr>
          <w:bCs/>
        </w:rPr>
        <w:t>the</w:t>
      </w:r>
      <w:r w:rsidR="00D1779D">
        <w:rPr>
          <w:bCs/>
        </w:rPr>
        <w:t xml:space="preserve"> ratios, </w:t>
      </w:r>
      <w:r>
        <w:rPr>
          <w:bCs/>
        </w:rPr>
        <w:t>write a concise analysis about each ratio under the table o</w:t>
      </w:r>
      <w:r w:rsidR="00792ABA">
        <w:rPr>
          <w:bCs/>
        </w:rPr>
        <w:t>n</w:t>
      </w:r>
      <w:r w:rsidR="006C62BF">
        <w:rPr>
          <w:bCs/>
        </w:rPr>
        <w:t>:</w:t>
      </w:r>
    </w:p>
    <w:p w:rsidR="006C62BF" w:rsidRDefault="006C62BF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p w:rsidR="000827B4" w:rsidRPr="000827B4" w:rsidRDefault="000827B4" w:rsidP="000827B4">
      <w:pPr>
        <w:pStyle w:val="ListParagraph"/>
        <w:numPr>
          <w:ilvl w:val="0"/>
          <w:numId w:val="7"/>
        </w:numPr>
        <w:rPr>
          <w:rFonts w:ascii="Times New Roman" w:hAnsi="Times New Roman"/>
          <w:color w:val="auto"/>
          <w:sz w:val="24"/>
        </w:rPr>
      </w:pPr>
      <w:r w:rsidRPr="000827B4">
        <w:rPr>
          <w:rFonts w:ascii="Times New Roman" w:hAnsi="Times New Roman"/>
          <w:color w:val="auto"/>
          <w:sz w:val="24"/>
        </w:rPr>
        <w:t xml:space="preserve">The </w:t>
      </w:r>
      <w:r w:rsidRPr="000827B4">
        <w:rPr>
          <w:rFonts w:ascii="Times New Roman" w:hAnsi="Times New Roman"/>
          <w:b/>
          <w:color w:val="auto"/>
          <w:sz w:val="24"/>
        </w:rPr>
        <w:t>Profitability</w:t>
      </w:r>
      <w:r w:rsidRPr="000827B4">
        <w:rPr>
          <w:rFonts w:ascii="Times New Roman" w:hAnsi="Times New Roman"/>
          <w:color w:val="auto"/>
          <w:sz w:val="24"/>
        </w:rPr>
        <w:t xml:space="preserve"> table followed by the write-up that should include the actual ratios and industry averages for:  </w:t>
      </w:r>
    </w:p>
    <w:p w:rsidR="000827B4" w:rsidRP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Sales – Included only in table but discussed in sales growth</w:t>
      </w:r>
    </w:p>
    <w:p w:rsidR="000827B4" w:rsidRP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Sales Growth – You must discuss each year of sales growth for this section to be complete</w:t>
      </w:r>
    </w:p>
    <w:p w:rsidR="000827B4" w:rsidRP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Gross Profit Margin</w:t>
      </w:r>
    </w:p>
    <w:p w:rsidR="000827B4" w:rsidRP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Return on Sales</w:t>
      </w:r>
    </w:p>
    <w:p w:rsidR="000827B4" w:rsidRP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Return on Asset</w:t>
      </w:r>
    </w:p>
    <w:p w:rsidR="000827B4" w:rsidRDefault="000827B4" w:rsidP="000827B4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auto"/>
          <w:sz w:val="24"/>
        </w:rPr>
      </w:pPr>
      <w:r w:rsidRPr="000827B4">
        <w:rPr>
          <w:rFonts w:ascii="Times New Roman" w:hAnsi="Times New Roman"/>
          <w:b/>
          <w:color w:val="auto"/>
          <w:sz w:val="24"/>
        </w:rPr>
        <w:t>Return on Equity</w:t>
      </w:r>
    </w:p>
    <w:p w:rsidR="000827B4" w:rsidRPr="000827B4" w:rsidRDefault="000827B4" w:rsidP="000827B4">
      <w:pPr>
        <w:ind w:left="1440"/>
        <w:rPr>
          <w:rFonts w:ascii="Times New Roman" w:hAnsi="Times New Roman"/>
          <w:b/>
          <w:color w:val="auto"/>
          <w:sz w:val="24"/>
        </w:rPr>
      </w:pPr>
    </w:p>
    <w:p w:rsidR="000827B4" w:rsidRPr="000827B4" w:rsidRDefault="000827B4" w:rsidP="000827B4">
      <w:pPr>
        <w:pStyle w:val="ListParagraph"/>
        <w:numPr>
          <w:ilvl w:val="0"/>
          <w:numId w:val="9"/>
        </w:numPr>
        <w:rPr>
          <w:rFonts w:ascii="Times New Roman" w:hAnsi="Times New Roman"/>
          <w:color w:val="auto"/>
          <w:sz w:val="24"/>
        </w:rPr>
      </w:pPr>
      <w:r w:rsidRPr="000827B4">
        <w:rPr>
          <w:rFonts w:ascii="Times New Roman" w:hAnsi="Times New Roman"/>
          <w:color w:val="auto"/>
          <w:sz w:val="24"/>
        </w:rPr>
        <w:t xml:space="preserve">The </w:t>
      </w:r>
      <w:r w:rsidRPr="000827B4">
        <w:rPr>
          <w:rFonts w:ascii="Times New Roman" w:hAnsi="Times New Roman"/>
          <w:b/>
          <w:color w:val="auto"/>
          <w:sz w:val="24"/>
        </w:rPr>
        <w:t>Asset Efficiency</w:t>
      </w:r>
      <w:r w:rsidRPr="000827B4">
        <w:rPr>
          <w:rFonts w:ascii="Times New Roman" w:hAnsi="Times New Roman"/>
          <w:color w:val="auto"/>
          <w:sz w:val="24"/>
        </w:rPr>
        <w:t xml:space="preserve"> table followed by the write-up that should include the actual ratios and industry averages for:  </w:t>
      </w:r>
    </w:p>
    <w:p w:rsidR="000827B4" w:rsidRPr="005B14EA" w:rsidRDefault="000827B4" w:rsidP="000827B4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5B14EA">
        <w:rPr>
          <w:b/>
          <w:bCs/>
        </w:rPr>
        <w:t>Inventory DOH</w:t>
      </w:r>
    </w:p>
    <w:p w:rsidR="000827B4" w:rsidRPr="005B14EA" w:rsidRDefault="000827B4" w:rsidP="000827B4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5B14EA">
        <w:rPr>
          <w:b/>
          <w:bCs/>
        </w:rPr>
        <w:t>Accounts Receivable DOH</w:t>
      </w:r>
    </w:p>
    <w:p w:rsidR="000827B4" w:rsidRPr="005B14EA" w:rsidRDefault="000827B4" w:rsidP="000827B4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5B14EA">
        <w:rPr>
          <w:b/>
          <w:bCs/>
        </w:rPr>
        <w:t>Accounts Payable DOH</w:t>
      </w:r>
    </w:p>
    <w:p w:rsidR="000827B4" w:rsidRDefault="000827B4" w:rsidP="000827B4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 w:rsidRPr="005B14EA">
        <w:rPr>
          <w:b/>
          <w:bCs/>
        </w:rPr>
        <w:t>Total Asset Turnover</w:t>
      </w:r>
    </w:p>
    <w:p w:rsidR="00095A28" w:rsidRPr="005B14EA" w:rsidRDefault="00095A28" w:rsidP="000827B4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Liquidity and Leverage – Debt-to-Equity only</w:t>
      </w:r>
    </w:p>
    <w:p w:rsidR="004E58D2" w:rsidRPr="005B14EA" w:rsidRDefault="004E58D2" w:rsidP="004E58D2">
      <w:pPr>
        <w:pStyle w:val="NormalWeb"/>
        <w:spacing w:before="0" w:beforeAutospacing="0" w:after="0" w:afterAutospacing="0" w:line="276" w:lineRule="auto"/>
        <w:ind w:left="1440"/>
        <w:jc w:val="both"/>
        <w:rPr>
          <w:b/>
          <w:bCs/>
        </w:rPr>
      </w:pPr>
    </w:p>
    <w:p w:rsidR="007F2DCC" w:rsidRPr="000827B4" w:rsidRDefault="00E12A94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0827B4">
        <w:rPr>
          <w:bCs/>
        </w:rPr>
        <w:t xml:space="preserve">When writing the analysis, there should be a </w:t>
      </w:r>
      <w:r w:rsidR="00AD0CF9">
        <w:rPr>
          <w:bCs/>
        </w:rPr>
        <w:t>discussion of each ratio in the table</w:t>
      </w:r>
      <w:r w:rsidR="00604FAF">
        <w:rPr>
          <w:bCs/>
        </w:rPr>
        <w:t xml:space="preserve"> with a comparison of the final year to the </w:t>
      </w:r>
      <w:r w:rsidRPr="000827B4">
        <w:rPr>
          <w:bCs/>
        </w:rPr>
        <w:t>industry average.</w:t>
      </w:r>
      <w:r w:rsidR="0079569F" w:rsidRPr="000827B4">
        <w:rPr>
          <w:bCs/>
        </w:rPr>
        <w:t xml:space="preserve">  </w:t>
      </w:r>
    </w:p>
    <w:p w:rsidR="005B14EA" w:rsidRDefault="005B14EA" w:rsidP="005B457E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p w:rsidR="00E40652" w:rsidRDefault="00D1779D" w:rsidP="000827B4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Y</w:t>
      </w:r>
      <w:r w:rsidR="00E40652">
        <w:rPr>
          <w:bCs/>
        </w:rPr>
        <w:t xml:space="preserve">ou </w:t>
      </w:r>
      <w:r w:rsidR="00604FAF" w:rsidRPr="00604FAF">
        <w:rPr>
          <w:b/>
          <w:bCs/>
          <w:u w:val="single"/>
        </w:rPr>
        <w:t>must</w:t>
      </w:r>
      <w:r w:rsidR="00E40652" w:rsidRPr="00604FAF">
        <w:rPr>
          <w:b/>
          <w:bCs/>
          <w:u w:val="single"/>
        </w:rPr>
        <w:t xml:space="preserve"> </w:t>
      </w:r>
      <w:r w:rsidR="00E40652" w:rsidRPr="00A3342A">
        <w:rPr>
          <w:b/>
          <w:bCs/>
          <w:u w:val="single"/>
        </w:rPr>
        <w:t>read the Management Discussion and Analysis</w:t>
      </w:r>
      <w:r w:rsidR="00604FAF">
        <w:rPr>
          <w:b/>
          <w:bCs/>
          <w:u w:val="single"/>
        </w:rPr>
        <w:t xml:space="preserve"> in the 10-K for a good analysis</w:t>
      </w:r>
      <w:r w:rsidR="00E40652">
        <w:rPr>
          <w:bCs/>
        </w:rPr>
        <w:t xml:space="preserve"> to determine the underlying reasons for the changes in the ratios.</w:t>
      </w:r>
      <w:r w:rsidR="00A761B5">
        <w:rPr>
          <w:bCs/>
        </w:rPr>
        <w:t xml:space="preserve">  </w:t>
      </w:r>
      <w:r w:rsidR="000827B4">
        <w:rPr>
          <w:bCs/>
        </w:rPr>
        <w:t>C</w:t>
      </w:r>
      <w:r w:rsidR="00A761B5">
        <w:rPr>
          <w:bCs/>
        </w:rPr>
        <w:t>lasswork 2</w:t>
      </w:r>
      <w:r w:rsidR="000827B4">
        <w:rPr>
          <w:bCs/>
        </w:rPr>
        <w:t xml:space="preserve"> and 3 should provide a basis for this assignment</w:t>
      </w:r>
      <w:r w:rsidR="00A761B5">
        <w:rPr>
          <w:bCs/>
        </w:rPr>
        <w:t xml:space="preserve">.  </w:t>
      </w:r>
      <w:r w:rsidR="00E40652">
        <w:rPr>
          <w:bCs/>
        </w:rPr>
        <w:t xml:space="preserve"> </w:t>
      </w:r>
      <w:r w:rsidR="000827B4">
        <w:rPr>
          <w:bCs/>
        </w:rPr>
        <w:t xml:space="preserve">You should look for any trends in any two to three period or significant changes in a single year in the ratio for discussion and review. </w:t>
      </w:r>
    </w:p>
    <w:p w:rsidR="00EB736E" w:rsidRDefault="00EB736E" w:rsidP="000827B4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p w:rsidR="00EB736E" w:rsidRDefault="00EB736E" w:rsidP="000827B4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tbl>
      <w:tblPr>
        <w:tblW w:w="7620" w:type="dxa"/>
        <w:tblLook w:val="04A0" w:firstRow="1" w:lastRow="0" w:firstColumn="1" w:lastColumn="0" w:noHBand="0" w:noVBand="1"/>
      </w:tblPr>
      <w:tblGrid>
        <w:gridCol w:w="5700"/>
        <w:gridCol w:w="943"/>
        <w:gridCol w:w="977"/>
      </w:tblGrid>
      <w:tr w:rsidR="004E58D2" w:rsidRPr="004E58D2" w:rsidTr="004E58D2">
        <w:trPr>
          <w:trHeight w:val="380"/>
        </w:trPr>
        <w:tc>
          <w:tcPr>
            <w:tcW w:w="7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4E58D2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lastRenderedPageBreak/>
              <w:t>Homework 2 - Grading Rubrics</w:t>
            </w:r>
          </w:p>
        </w:tc>
      </w:tr>
      <w:tr w:rsidR="004E58D2" w:rsidRPr="004E58D2" w:rsidTr="004E58D2">
        <w:trPr>
          <w:trHeight w:val="61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Rationale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Points Avail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Points Earned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</w:t>
            </w: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year historical analysis- selected company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1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 w:firstLineChars="200" w:firstLine="48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Income statement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 w:firstLineChars="200" w:firstLine="48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Balance Sheet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1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 w:firstLineChars="200" w:firstLine="48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Ratios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 w:firstLineChars="200" w:firstLine="48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Segment Analysis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Profitability Table with Industry averages in outline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Profitability Analysis with Ind Avg and Seg An.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Asset Efficiency Table with Industry averages in outline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Asset Efficient Analysis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4E58D2" w:rsidRPr="004E58D2" w:rsidTr="00095A28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E58D2" w:rsidRPr="004E58D2" w:rsidTr="00095A28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4E58D2" w:rsidRPr="004E58D2" w:rsidTr="004E58D2">
        <w:trPr>
          <w:trHeight w:val="320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58D2" w:rsidRPr="004E58D2" w:rsidRDefault="004E58D2" w:rsidP="004E58D2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E58D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7F2DCC" w:rsidRDefault="007F2DCC" w:rsidP="004E58D2">
      <w:pPr>
        <w:pStyle w:val="NormalWeb"/>
        <w:spacing w:before="0" w:beforeAutospacing="0" w:after="0" w:afterAutospacing="0" w:line="276" w:lineRule="auto"/>
        <w:jc w:val="both"/>
        <w:rPr>
          <w:bCs/>
        </w:rPr>
      </w:pPr>
    </w:p>
    <w:sectPr w:rsidR="007F2DCC" w:rsidSect="008C1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0897"/>
    <w:multiLevelType w:val="hybridMultilevel"/>
    <w:tmpl w:val="8C18F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E41DA7"/>
    <w:multiLevelType w:val="hybridMultilevel"/>
    <w:tmpl w:val="DC16C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92BDC"/>
    <w:multiLevelType w:val="hybridMultilevel"/>
    <w:tmpl w:val="B26EBD98"/>
    <w:lvl w:ilvl="0" w:tplc="33BADB9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75FCD"/>
    <w:multiLevelType w:val="hybridMultilevel"/>
    <w:tmpl w:val="FB30F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5253B"/>
    <w:multiLevelType w:val="hybridMultilevel"/>
    <w:tmpl w:val="F0DE0994"/>
    <w:lvl w:ilvl="0" w:tplc="FB52FDD8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6240A"/>
    <w:multiLevelType w:val="hybridMultilevel"/>
    <w:tmpl w:val="809EC0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B7832"/>
    <w:multiLevelType w:val="hybridMultilevel"/>
    <w:tmpl w:val="DC16C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F7491"/>
    <w:multiLevelType w:val="hybridMultilevel"/>
    <w:tmpl w:val="1BE0C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2B6E"/>
    <w:multiLevelType w:val="hybridMultilevel"/>
    <w:tmpl w:val="AF12D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271EBC"/>
    <w:multiLevelType w:val="hybridMultilevel"/>
    <w:tmpl w:val="DC16C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0"/>
    <w:rsid w:val="000718F4"/>
    <w:rsid w:val="000827B4"/>
    <w:rsid w:val="00086419"/>
    <w:rsid w:val="00094263"/>
    <w:rsid w:val="00095A28"/>
    <w:rsid w:val="000D1F55"/>
    <w:rsid w:val="00151AC0"/>
    <w:rsid w:val="0016567F"/>
    <w:rsid w:val="001C1D93"/>
    <w:rsid w:val="00244910"/>
    <w:rsid w:val="00394D08"/>
    <w:rsid w:val="004156C4"/>
    <w:rsid w:val="004768F8"/>
    <w:rsid w:val="004A7D0C"/>
    <w:rsid w:val="004E55C6"/>
    <w:rsid w:val="004E58D2"/>
    <w:rsid w:val="004F3DB3"/>
    <w:rsid w:val="00555252"/>
    <w:rsid w:val="0059246B"/>
    <w:rsid w:val="005B14EA"/>
    <w:rsid w:val="005B457E"/>
    <w:rsid w:val="005C0351"/>
    <w:rsid w:val="00604FAF"/>
    <w:rsid w:val="006067E3"/>
    <w:rsid w:val="00687C3A"/>
    <w:rsid w:val="006C62BF"/>
    <w:rsid w:val="0072560C"/>
    <w:rsid w:val="00751940"/>
    <w:rsid w:val="00792ABA"/>
    <w:rsid w:val="0079569F"/>
    <w:rsid w:val="007B57BC"/>
    <w:rsid w:val="007B7B4C"/>
    <w:rsid w:val="007F2DCC"/>
    <w:rsid w:val="008C1190"/>
    <w:rsid w:val="008F10CD"/>
    <w:rsid w:val="009824AF"/>
    <w:rsid w:val="009C07EB"/>
    <w:rsid w:val="009C1D9D"/>
    <w:rsid w:val="00A3342A"/>
    <w:rsid w:val="00A761B5"/>
    <w:rsid w:val="00A83B63"/>
    <w:rsid w:val="00A90B36"/>
    <w:rsid w:val="00AB47B0"/>
    <w:rsid w:val="00AD0CF9"/>
    <w:rsid w:val="00B66877"/>
    <w:rsid w:val="00B873EA"/>
    <w:rsid w:val="00BE1931"/>
    <w:rsid w:val="00BE322E"/>
    <w:rsid w:val="00CB2570"/>
    <w:rsid w:val="00CC3012"/>
    <w:rsid w:val="00CD1DFC"/>
    <w:rsid w:val="00CD3284"/>
    <w:rsid w:val="00D1779D"/>
    <w:rsid w:val="00D33971"/>
    <w:rsid w:val="00D77A48"/>
    <w:rsid w:val="00DA4F56"/>
    <w:rsid w:val="00E12A94"/>
    <w:rsid w:val="00E32425"/>
    <w:rsid w:val="00E40652"/>
    <w:rsid w:val="00E442D4"/>
    <w:rsid w:val="00E74623"/>
    <w:rsid w:val="00EB736E"/>
    <w:rsid w:val="00F24824"/>
    <w:rsid w:val="00F360DF"/>
    <w:rsid w:val="00FD2F91"/>
    <w:rsid w:val="00FD32D8"/>
    <w:rsid w:val="00FE1A1D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48F1"/>
  <w15:docId w15:val="{E27E59CB-58A7-4089-A30B-56B178B1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Calibri" w:hAnsi="Lucida San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F91"/>
    <w:pPr>
      <w:spacing w:line="276" w:lineRule="auto"/>
      <w:ind w:left="720"/>
      <w:jc w:val="both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119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B6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2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D4"/>
    <w:rPr>
      <w:rFonts w:ascii="Segoe U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Morrisville State College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Scalzo</dc:creator>
  <cp:lastModifiedBy>Scalzo, Christopher</cp:lastModifiedBy>
  <cp:revision>23</cp:revision>
  <cp:lastPrinted>2016-12-11T18:47:00Z</cp:lastPrinted>
  <dcterms:created xsi:type="dcterms:W3CDTF">2018-04-26T13:06:00Z</dcterms:created>
  <dcterms:modified xsi:type="dcterms:W3CDTF">2020-07-02T18:34:00Z</dcterms:modified>
</cp:coreProperties>
</file>