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7892D" w14:textId="77777777" w:rsidR="00235092" w:rsidRDefault="006F207D" w:rsidP="006F207D">
      <w:pPr>
        <w:pStyle w:val="NoSpacing"/>
        <w:rPr>
          <w:rFonts w:ascii="Garamond" w:hAnsi="Garamond"/>
          <w:b/>
          <w:sz w:val="24"/>
          <w:szCs w:val="24"/>
        </w:rPr>
      </w:pPr>
      <w:r>
        <w:rPr>
          <w:rFonts w:ascii="Garamond" w:hAnsi="Garamond"/>
          <w:b/>
          <w:sz w:val="24"/>
          <w:szCs w:val="24"/>
        </w:rPr>
        <w:t>FIN 420 – Real Estate Finance &amp; Investments</w:t>
      </w:r>
    </w:p>
    <w:p w14:paraId="1E764E47" w14:textId="29E27387" w:rsidR="006F207D" w:rsidRDefault="00D127CE" w:rsidP="006F207D">
      <w:pPr>
        <w:pStyle w:val="NoSpacing"/>
        <w:pBdr>
          <w:bottom w:val="single" w:sz="12" w:space="1" w:color="auto"/>
        </w:pBdr>
        <w:rPr>
          <w:rFonts w:ascii="Garamond" w:hAnsi="Garamond"/>
          <w:b/>
          <w:sz w:val="24"/>
          <w:szCs w:val="24"/>
        </w:rPr>
      </w:pPr>
      <w:r>
        <w:rPr>
          <w:rFonts w:ascii="Garamond" w:hAnsi="Garamond"/>
          <w:b/>
          <w:sz w:val="24"/>
          <w:szCs w:val="24"/>
        </w:rPr>
        <w:t>Underwriting &amp; Financing Residential Properties</w:t>
      </w:r>
    </w:p>
    <w:p w14:paraId="3BA5C5D9" w14:textId="77777777" w:rsidR="006F207D" w:rsidRDefault="006F207D" w:rsidP="006F207D">
      <w:pPr>
        <w:pStyle w:val="NoSpacing"/>
        <w:rPr>
          <w:rFonts w:ascii="Garamond" w:hAnsi="Garamond"/>
          <w:b/>
          <w:sz w:val="24"/>
          <w:szCs w:val="24"/>
        </w:rPr>
      </w:pPr>
    </w:p>
    <w:p w14:paraId="61A3D751" w14:textId="77777777" w:rsidR="006F207D" w:rsidRDefault="006F207D" w:rsidP="006F207D">
      <w:pPr>
        <w:pStyle w:val="NoSpacing"/>
        <w:rPr>
          <w:rFonts w:ascii="Garamond" w:hAnsi="Garamond"/>
          <w:sz w:val="24"/>
          <w:szCs w:val="24"/>
        </w:rPr>
      </w:pPr>
      <w:r>
        <w:rPr>
          <w:rFonts w:ascii="Garamond" w:hAnsi="Garamond"/>
          <w:sz w:val="24"/>
          <w:szCs w:val="24"/>
        </w:rPr>
        <w:t xml:space="preserve">Please complete the following questions (placing your responses after the assigned question) and post online by the assigned deadline. </w:t>
      </w:r>
    </w:p>
    <w:p w14:paraId="6588352F" w14:textId="77777777" w:rsidR="006F207D" w:rsidRPr="00034ABD" w:rsidRDefault="006F207D" w:rsidP="006F207D">
      <w:pPr>
        <w:pStyle w:val="NoSpacing"/>
        <w:rPr>
          <w:rFonts w:ascii="Garamond" w:hAnsi="Garamond"/>
          <w:sz w:val="24"/>
          <w:szCs w:val="24"/>
        </w:rPr>
      </w:pPr>
    </w:p>
    <w:p w14:paraId="356D4875" w14:textId="3E2364C1" w:rsidR="00A75B9B" w:rsidRPr="00DE0105" w:rsidRDefault="00A75B9B" w:rsidP="00025FC0">
      <w:pPr>
        <w:spacing w:after="0" w:line="360" w:lineRule="auto"/>
        <w:jc w:val="center"/>
        <w:rPr>
          <w:rFonts w:ascii="Garamond" w:hAnsi="Garamond"/>
          <w:b/>
          <w:iCs/>
          <w:sz w:val="24"/>
          <w:szCs w:val="24"/>
        </w:rPr>
      </w:pPr>
      <w:r w:rsidRPr="00034ABD">
        <w:rPr>
          <w:rFonts w:ascii="Garamond" w:hAnsi="Garamond"/>
          <w:b/>
          <w:sz w:val="24"/>
          <w:szCs w:val="24"/>
        </w:rPr>
        <w:t>Questions</w:t>
      </w:r>
    </w:p>
    <w:p w14:paraId="6EDD04BF" w14:textId="7AF5AAC2" w:rsidR="00DE0105" w:rsidRPr="00D127CE" w:rsidRDefault="00665A3D" w:rsidP="00D127CE">
      <w:pPr>
        <w:rPr>
          <w:rFonts w:ascii="Garamond" w:hAnsi="Garamond"/>
          <w:sz w:val="24"/>
          <w:szCs w:val="24"/>
        </w:rPr>
      </w:pPr>
      <w:r w:rsidRPr="00D127CE">
        <w:rPr>
          <w:rFonts w:ascii="Garamond" w:hAnsi="Garamond"/>
          <w:b/>
          <w:bCs/>
        </w:rPr>
        <w:t>Questio</w:t>
      </w:r>
      <w:r w:rsidRPr="00D127CE">
        <w:rPr>
          <w:rFonts w:ascii="Garamond" w:hAnsi="Garamond"/>
          <w:b/>
          <w:bCs/>
          <w:sz w:val="24"/>
          <w:szCs w:val="24"/>
        </w:rPr>
        <w:t>n 1</w:t>
      </w:r>
      <w:r w:rsidRPr="00D127CE">
        <w:rPr>
          <w:rFonts w:ascii="Garamond" w:hAnsi="Garamond"/>
          <w:sz w:val="24"/>
          <w:szCs w:val="24"/>
        </w:rPr>
        <w:t xml:space="preserve">: </w:t>
      </w:r>
      <w:r w:rsidR="00D127CE" w:rsidRPr="00D127CE">
        <w:rPr>
          <w:rFonts w:ascii="Garamond" w:hAnsi="Garamond"/>
          <w:sz w:val="24"/>
          <w:szCs w:val="24"/>
        </w:rPr>
        <w:t>What is the legislative intent of federal truth-in-lending disclosures, and what specific disclosures are required under the act?</w:t>
      </w:r>
    </w:p>
    <w:p w14:paraId="79292A36" w14:textId="3DA4C924" w:rsidR="00525873" w:rsidRPr="00D127CE" w:rsidRDefault="00665A3D" w:rsidP="00D127CE">
      <w:pPr>
        <w:rPr>
          <w:rFonts w:ascii="Garamond" w:hAnsi="Garamond"/>
          <w:sz w:val="24"/>
          <w:szCs w:val="24"/>
        </w:rPr>
      </w:pPr>
      <w:r w:rsidRPr="00D127CE">
        <w:rPr>
          <w:rFonts w:ascii="Garamond" w:hAnsi="Garamond"/>
          <w:b/>
          <w:bCs/>
          <w:sz w:val="24"/>
          <w:szCs w:val="24"/>
        </w:rPr>
        <w:t xml:space="preserve">Question </w:t>
      </w:r>
      <w:r w:rsidR="00380CAF" w:rsidRPr="00D127CE">
        <w:rPr>
          <w:rFonts w:ascii="Garamond" w:hAnsi="Garamond"/>
          <w:b/>
          <w:bCs/>
          <w:sz w:val="24"/>
          <w:szCs w:val="24"/>
        </w:rPr>
        <w:t>2</w:t>
      </w:r>
      <w:r w:rsidRPr="00D127CE">
        <w:rPr>
          <w:rFonts w:ascii="Garamond" w:hAnsi="Garamond"/>
          <w:sz w:val="24"/>
          <w:szCs w:val="24"/>
        </w:rPr>
        <w:t xml:space="preserve">: </w:t>
      </w:r>
      <w:r w:rsidR="00D127CE" w:rsidRPr="00D127CE">
        <w:rPr>
          <w:rFonts w:ascii="Garamond" w:hAnsi="Garamond"/>
          <w:sz w:val="24"/>
          <w:szCs w:val="24"/>
        </w:rPr>
        <w:t>When would the cost of credit life insurance be included in the finance charge and APR calculations for federal truth-in-lending disclosures?</w:t>
      </w:r>
    </w:p>
    <w:p w14:paraId="3B4540CB" w14:textId="75C53CDF" w:rsidR="00525873" w:rsidRPr="00D127CE" w:rsidRDefault="00525873" w:rsidP="00D127CE">
      <w:pPr>
        <w:rPr>
          <w:rFonts w:ascii="Garamond" w:hAnsi="Garamond"/>
          <w:sz w:val="24"/>
          <w:szCs w:val="24"/>
        </w:rPr>
      </w:pPr>
      <w:r w:rsidRPr="00D127CE">
        <w:rPr>
          <w:rFonts w:ascii="Garamond" w:hAnsi="Garamond"/>
          <w:b/>
          <w:bCs/>
          <w:sz w:val="24"/>
          <w:szCs w:val="24"/>
        </w:rPr>
        <w:t>Question 3</w:t>
      </w:r>
      <w:r w:rsidRPr="00D127CE">
        <w:rPr>
          <w:rFonts w:ascii="Garamond" w:hAnsi="Garamond"/>
          <w:sz w:val="24"/>
          <w:szCs w:val="24"/>
        </w:rPr>
        <w:t xml:space="preserve">: </w:t>
      </w:r>
      <w:r w:rsidR="00D127CE" w:rsidRPr="00D127CE">
        <w:rPr>
          <w:rFonts w:ascii="Garamond" w:hAnsi="Garamond"/>
          <w:sz w:val="24"/>
          <w:szCs w:val="24"/>
        </w:rPr>
        <w:t>What assumption about the future composite rate of interest on an adjustable rate mortgage is made when determining the APR for federal truth-in-lending disclosures?</w:t>
      </w:r>
    </w:p>
    <w:p w14:paraId="6AD38A3A" w14:textId="2ABD2C34" w:rsidR="00525873" w:rsidRPr="00D127CE" w:rsidRDefault="00525873" w:rsidP="00D127CE">
      <w:pPr>
        <w:rPr>
          <w:rFonts w:ascii="Garamond" w:hAnsi="Garamond"/>
          <w:sz w:val="24"/>
          <w:szCs w:val="24"/>
        </w:rPr>
      </w:pPr>
      <w:r w:rsidRPr="00D127CE">
        <w:rPr>
          <w:rFonts w:ascii="Garamond" w:hAnsi="Garamond"/>
          <w:b/>
          <w:bCs/>
          <w:sz w:val="24"/>
          <w:szCs w:val="24"/>
        </w:rPr>
        <w:t>Question 4</w:t>
      </w:r>
      <w:r w:rsidRPr="00D127CE">
        <w:rPr>
          <w:rFonts w:ascii="Garamond" w:hAnsi="Garamond"/>
          <w:sz w:val="24"/>
          <w:szCs w:val="24"/>
        </w:rPr>
        <w:t xml:space="preserve">: </w:t>
      </w:r>
      <w:r w:rsidR="00D127CE" w:rsidRPr="00D127CE">
        <w:rPr>
          <w:rFonts w:ascii="Garamond" w:hAnsi="Garamond"/>
          <w:sz w:val="24"/>
          <w:szCs w:val="24"/>
        </w:rPr>
        <w:t>List the closing cost items that require RESPA disclosure. What items may be excluded from disclosures under the act? What form can these disclosures take?</w:t>
      </w:r>
    </w:p>
    <w:p w14:paraId="506AD525" w14:textId="36557DAA" w:rsidR="00525873" w:rsidRPr="00D127CE" w:rsidRDefault="00525873" w:rsidP="00D127CE">
      <w:pPr>
        <w:rPr>
          <w:rFonts w:ascii="Garamond" w:hAnsi="Garamond"/>
          <w:sz w:val="24"/>
          <w:szCs w:val="24"/>
        </w:rPr>
      </w:pPr>
      <w:r w:rsidRPr="00D127CE">
        <w:rPr>
          <w:rFonts w:ascii="Garamond" w:hAnsi="Garamond"/>
          <w:b/>
          <w:bCs/>
          <w:sz w:val="24"/>
          <w:szCs w:val="24"/>
        </w:rPr>
        <w:t>Question 5</w:t>
      </w:r>
      <w:r w:rsidRPr="00D127CE">
        <w:rPr>
          <w:rFonts w:ascii="Garamond" w:hAnsi="Garamond"/>
          <w:sz w:val="24"/>
          <w:szCs w:val="24"/>
        </w:rPr>
        <w:t xml:space="preserve">: </w:t>
      </w:r>
      <w:r w:rsidR="00D127CE" w:rsidRPr="00D127CE">
        <w:rPr>
          <w:rFonts w:ascii="Garamond" w:hAnsi="Garamond"/>
          <w:sz w:val="24"/>
          <w:szCs w:val="24"/>
        </w:rPr>
        <w:t>What types of fees and conditions are prohibited under RESPA?</w:t>
      </w:r>
    </w:p>
    <w:p w14:paraId="3442E7C8" w14:textId="308539DE" w:rsidR="00DE0105" w:rsidRPr="00081C87" w:rsidRDefault="00525873" w:rsidP="00D127CE">
      <w:pPr>
        <w:rPr>
          <w:rFonts w:ascii="Garamond" w:hAnsi="Garamond"/>
          <w:sz w:val="24"/>
          <w:szCs w:val="24"/>
        </w:rPr>
      </w:pPr>
      <w:r w:rsidRPr="00D127CE">
        <w:rPr>
          <w:rFonts w:ascii="Garamond" w:hAnsi="Garamond"/>
          <w:b/>
          <w:bCs/>
          <w:sz w:val="24"/>
          <w:szCs w:val="24"/>
        </w:rPr>
        <w:t>Question 6</w:t>
      </w:r>
      <w:r w:rsidRPr="00D127CE">
        <w:rPr>
          <w:rFonts w:ascii="Garamond" w:hAnsi="Garamond"/>
          <w:sz w:val="24"/>
          <w:szCs w:val="24"/>
        </w:rPr>
        <w:t xml:space="preserve">: </w:t>
      </w:r>
      <w:r w:rsidR="00D127CE" w:rsidRPr="00D127CE">
        <w:rPr>
          <w:rFonts w:ascii="Garamond" w:hAnsi="Garamond"/>
          <w:sz w:val="24"/>
          <w:szCs w:val="24"/>
        </w:rPr>
        <w:t>For what items may a lender require escrow accounts from a borrower?</w:t>
      </w:r>
    </w:p>
    <w:p w14:paraId="5049FF19" w14:textId="77777777" w:rsidR="00A75B9B" w:rsidRPr="00034ABD" w:rsidRDefault="00A75B9B" w:rsidP="00525873">
      <w:pPr>
        <w:spacing w:after="0" w:line="360" w:lineRule="auto"/>
        <w:jc w:val="center"/>
        <w:rPr>
          <w:rFonts w:ascii="Garamond" w:hAnsi="Garamond"/>
          <w:b/>
          <w:sz w:val="24"/>
          <w:szCs w:val="24"/>
        </w:rPr>
      </w:pPr>
      <w:r w:rsidRPr="00034ABD">
        <w:rPr>
          <w:rFonts w:ascii="Garamond" w:hAnsi="Garamond"/>
          <w:b/>
          <w:sz w:val="24"/>
          <w:szCs w:val="24"/>
        </w:rPr>
        <w:t>Problems</w:t>
      </w:r>
    </w:p>
    <w:p w14:paraId="14228515" w14:textId="404D2B08" w:rsidR="00D127CE" w:rsidRPr="00D127CE" w:rsidRDefault="00665A3D" w:rsidP="00D127CE">
      <w:pPr>
        <w:spacing w:after="0" w:line="360" w:lineRule="auto"/>
        <w:rPr>
          <w:rFonts w:ascii="Garamond" w:hAnsi="Garamond"/>
          <w:sz w:val="24"/>
          <w:szCs w:val="24"/>
        </w:rPr>
      </w:pPr>
      <w:r w:rsidRPr="00D127CE">
        <w:rPr>
          <w:rFonts w:ascii="Garamond" w:hAnsi="Garamond"/>
          <w:b/>
          <w:bCs/>
          <w:sz w:val="24"/>
          <w:szCs w:val="24"/>
        </w:rPr>
        <w:t xml:space="preserve">Problem </w:t>
      </w:r>
      <w:r w:rsidR="00D127CE" w:rsidRPr="00D127CE">
        <w:rPr>
          <w:rFonts w:ascii="Garamond" w:hAnsi="Garamond"/>
          <w:b/>
          <w:bCs/>
          <w:sz w:val="24"/>
          <w:szCs w:val="24"/>
        </w:rPr>
        <w:t>2</w:t>
      </w:r>
      <w:r w:rsidRPr="00D127CE">
        <w:rPr>
          <w:rFonts w:ascii="Garamond" w:hAnsi="Garamond"/>
          <w:sz w:val="24"/>
          <w:szCs w:val="24"/>
        </w:rPr>
        <w:t xml:space="preserve">: </w:t>
      </w:r>
      <w:r w:rsidR="00D127CE" w:rsidRPr="00D127CE">
        <w:rPr>
          <w:rFonts w:ascii="Garamond" w:hAnsi="Garamond"/>
          <w:sz w:val="24"/>
          <w:szCs w:val="24"/>
        </w:rPr>
        <w:t>You are a new loan officer with Alpha Mortgage, and the manager of the loan department has just presented a problem to you. He is unable to complete the APR calculation on an adjustable rate mortgage that a borrower applied for yesterday. The loan features initial payments based on a 10 percent rate of interest, while the current composite rate on the loan is 13 percent. No discount points have been paid by any party to the transaction, and any difference between borrower payments and the interest payment required at the composite rate will be accrued in the mortgage balance in the form of negative amortization. The mortgage amount desired by the borrower is $65,000 for a 30-year term, but a one-time mortgage insurance premium of $2,400 is being funded as a part of the loan amount, making the total loan balance $67,400. The borrower is paying $1,600 in prepaid finance charges at closing.</w:t>
      </w:r>
    </w:p>
    <w:p w14:paraId="211EA8C4" w14:textId="77777777" w:rsidR="00D127CE" w:rsidRPr="00D127CE" w:rsidRDefault="00525873" w:rsidP="00D127CE">
      <w:pPr>
        <w:spacing w:after="0" w:line="360" w:lineRule="auto"/>
        <w:rPr>
          <w:rFonts w:ascii="Garamond" w:hAnsi="Garamond"/>
          <w:sz w:val="24"/>
          <w:szCs w:val="24"/>
        </w:rPr>
      </w:pPr>
      <w:r w:rsidRPr="00D127CE">
        <w:rPr>
          <w:rFonts w:ascii="Garamond" w:hAnsi="Garamond"/>
          <w:b/>
          <w:bCs/>
          <w:sz w:val="24"/>
          <w:szCs w:val="24"/>
        </w:rPr>
        <w:t xml:space="preserve">Problem </w:t>
      </w:r>
      <w:r w:rsidR="00D127CE" w:rsidRPr="00D127CE">
        <w:rPr>
          <w:rFonts w:ascii="Garamond" w:hAnsi="Garamond"/>
          <w:b/>
          <w:bCs/>
          <w:sz w:val="24"/>
          <w:szCs w:val="24"/>
        </w:rPr>
        <w:t>3</w:t>
      </w:r>
      <w:r w:rsidRPr="00D127CE">
        <w:rPr>
          <w:rFonts w:ascii="Garamond" w:hAnsi="Garamond"/>
          <w:sz w:val="24"/>
          <w:szCs w:val="24"/>
        </w:rPr>
        <w:t>:</w:t>
      </w:r>
      <w:r w:rsidR="00D127CE" w:rsidRPr="00D127CE">
        <w:rPr>
          <w:rFonts w:ascii="Garamond" w:hAnsi="Garamond"/>
          <w:sz w:val="24"/>
          <w:szCs w:val="24"/>
        </w:rPr>
        <w:t xml:space="preserve"> Determine the APR, assuming that the ARM is made with a 2 percent annual and 5 percent over-the-life interest rate cap.</w:t>
      </w:r>
    </w:p>
    <w:p w14:paraId="303D2326"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In what way does the APR disclosure aid the borrower in understanding the terms of this specific loan agreement? What are some of the problems with the APR calculations on ARMs?</w:t>
      </w:r>
    </w:p>
    <w:p w14:paraId="46FB6D39" w14:textId="347A2845" w:rsidR="00525873" w:rsidRPr="00D127CE" w:rsidRDefault="00525873" w:rsidP="00D127CE">
      <w:pPr>
        <w:spacing w:after="0" w:line="360" w:lineRule="auto"/>
        <w:rPr>
          <w:rFonts w:ascii="Garamond" w:hAnsi="Garamond"/>
          <w:sz w:val="24"/>
          <w:szCs w:val="24"/>
        </w:rPr>
      </w:pPr>
    </w:p>
    <w:p w14:paraId="21482C5C" w14:textId="77777777" w:rsidR="00D127CE" w:rsidRPr="00D127CE" w:rsidRDefault="00D127CE" w:rsidP="00D127CE">
      <w:pPr>
        <w:spacing w:after="0" w:line="360" w:lineRule="auto"/>
        <w:rPr>
          <w:rFonts w:ascii="Garamond" w:hAnsi="Garamond"/>
          <w:sz w:val="24"/>
          <w:szCs w:val="24"/>
        </w:rPr>
      </w:pPr>
      <w:r w:rsidRPr="00D127CE">
        <w:rPr>
          <w:rFonts w:ascii="Garamond" w:hAnsi="Garamond"/>
          <w:b/>
          <w:bCs/>
          <w:sz w:val="24"/>
          <w:szCs w:val="24"/>
        </w:rPr>
        <w:lastRenderedPageBreak/>
        <w:t>Problem 4</w:t>
      </w:r>
      <w:r w:rsidRPr="00D127CE">
        <w:rPr>
          <w:rFonts w:ascii="Garamond" w:hAnsi="Garamond"/>
          <w:sz w:val="24"/>
          <w:szCs w:val="24"/>
        </w:rPr>
        <w:t>: On August 20, Mr. and Mrs. Cleaver decided to buy a property from Mr. and Mrs. Ward for $105,000. On August 30, Mr. and Mrs. Cleaver obtained a loan commitment from OKAY National Bank for an $84,000 conventional loan at 10 percent for 30 years. The lender informs Mr. and Mrs. Cleaver that a $2,100 loan origination fee will be required to obtain the loan. The loan closing is to take place September 22. In addition, escrow accounts will be required for all prorated property taxes and hazard insurance; however, no mortgage insurance is necessary. The buyer will also pay a full year’s premium for hazard insurance to Rock of Gibraltar Insurance Company. A breakdown of expected settlement costs, provided by OKAY National Bank when Mr. and Mrs. Cleaver inspect the uniform settlement statement as required under RESPA on September 21, is as follows:</w:t>
      </w:r>
    </w:p>
    <w:tbl>
      <w:tblPr>
        <w:tblW w:w="0" w:type="auto"/>
        <w:tblCellMar>
          <w:left w:w="0" w:type="dxa"/>
          <w:right w:w="0" w:type="dxa"/>
        </w:tblCellMar>
        <w:tblLook w:val="04A0" w:firstRow="1" w:lastRow="0" w:firstColumn="1" w:lastColumn="0" w:noHBand="0" w:noVBand="1"/>
      </w:tblPr>
      <w:tblGrid>
        <w:gridCol w:w="758"/>
        <w:gridCol w:w="625"/>
        <w:gridCol w:w="6414"/>
        <w:gridCol w:w="1563"/>
      </w:tblGrid>
      <w:tr w:rsidR="00D127CE" w:rsidRPr="00D127CE" w14:paraId="7A8EF973" w14:textId="77777777" w:rsidTr="00D127CE">
        <w:trPr>
          <w:gridAfter w:val="1"/>
        </w:trPr>
        <w:tc>
          <w:tcPr>
            <w:tcW w:w="0" w:type="auto"/>
            <w:vMerge w:val="restart"/>
            <w:tcBorders>
              <w:top w:val="nil"/>
              <w:left w:val="nil"/>
              <w:bottom w:val="nil"/>
              <w:right w:val="nil"/>
            </w:tcBorders>
            <w:shd w:val="clear" w:color="auto" w:fill="auto"/>
            <w:tcMar>
              <w:top w:w="150" w:type="dxa"/>
              <w:left w:w="300" w:type="dxa"/>
              <w:bottom w:w="45" w:type="dxa"/>
              <w:right w:w="150" w:type="dxa"/>
            </w:tcMar>
            <w:vAlign w:val="bottom"/>
            <w:hideMark/>
          </w:tcPr>
          <w:p w14:paraId="68DA869B"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I.</w:t>
            </w:r>
          </w:p>
        </w:tc>
        <w:tc>
          <w:tcPr>
            <w:tcW w:w="0" w:type="auto"/>
            <w:gridSpan w:val="2"/>
            <w:tcBorders>
              <w:top w:val="nil"/>
              <w:left w:val="nil"/>
              <w:bottom w:val="nil"/>
              <w:right w:val="nil"/>
            </w:tcBorders>
            <w:shd w:val="clear" w:color="auto" w:fill="auto"/>
            <w:tcMar>
              <w:top w:w="150" w:type="dxa"/>
              <w:left w:w="150" w:type="dxa"/>
              <w:bottom w:w="45" w:type="dxa"/>
              <w:right w:w="300" w:type="dxa"/>
            </w:tcMar>
            <w:vAlign w:val="bottom"/>
            <w:hideMark/>
          </w:tcPr>
          <w:p w14:paraId="226AE990"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Transactions between buyer-borrower and third parties:</w:t>
            </w:r>
          </w:p>
        </w:tc>
      </w:tr>
      <w:tr w:rsidR="00D127CE" w:rsidRPr="00D127CE" w14:paraId="53B1BF25" w14:textId="77777777" w:rsidTr="00D127CE">
        <w:tc>
          <w:tcPr>
            <w:tcW w:w="0" w:type="auto"/>
            <w:vMerge/>
            <w:tcBorders>
              <w:top w:val="nil"/>
              <w:left w:val="nil"/>
              <w:bottom w:val="nil"/>
              <w:right w:val="nil"/>
            </w:tcBorders>
            <w:shd w:val="clear" w:color="auto" w:fill="auto"/>
            <w:vAlign w:val="bottom"/>
            <w:hideMark/>
          </w:tcPr>
          <w:p w14:paraId="5A049D33"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7E0F8112"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a.</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33D77DAF"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Recording fees—mortgage</w:t>
            </w:r>
          </w:p>
        </w:tc>
        <w:tc>
          <w:tcPr>
            <w:tcW w:w="0" w:type="auto"/>
            <w:tcBorders>
              <w:top w:val="nil"/>
              <w:left w:val="nil"/>
              <w:bottom w:val="nil"/>
              <w:right w:val="nil"/>
            </w:tcBorders>
            <w:shd w:val="clear" w:color="auto" w:fill="auto"/>
            <w:noWrap/>
            <w:tcMar>
              <w:top w:w="150" w:type="dxa"/>
              <w:left w:w="150" w:type="dxa"/>
              <w:bottom w:w="45" w:type="dxa"/>
              <w:right w:w="300" w:type="dxa"/>
            </w:tcMar>
            <w:vAlign w:val="bottom"/>
            <w:hideMark/>
          </w:tcPr>
          <w:p w14:paraId="6CFD7D03"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$30.00</w:t>
            </w:r>
          </w:p>
        </w:tc>
      </w:tr>
      <w:tr w:rsidR="00D127CE" w:rsidRPr="00D127CE" w14:paraId="46A3FE92" w14:textId="77777777" w:rsidTr="00D127CE">
        <w:tc>
          <w:tcPr>
            <w:tcW w:w="0" w:type="auto"/>
            <w:vMerge/>
            <w:tcBorders>
              <w:top w:val="nil"/>
              <w:left w:val="nil"/>
              <w:bottom w:val="nil"/>
              <w:right w:val="nil"/>
            </w:tcBorders>
            <w:shd w:val="clear" w:color="auto" w:fill="auto"/>
            <w:vAlign w:val="bottom"/>
            <w:hideMark/>
          </w:tcPr>
          <w:p w14:paraId="64FECD60"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1E19BB09"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b.</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5C2915F8"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Real estate transfer tax</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2F3CB2CC"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225.00</w:t>
            </w:r>
          </w:p>
        </w:tc>
      </w:tr>
      <w:tr w:rsidR="00D127CE" w:rsidRPr="00D127CE" w14:paraId="24EB3029" w14:textId="77777777" w:rsidTr="00D127CE">
        <w:tc>
          <w:tcPr>
            <w:tcW w:w="0" w:type="auto"/>
            <w:vMerge/>
            <w:tcBorders>
              <w:top w:val="nil"/>
              <w:left w:val="nil"/>
              <w:bottom w:val="nil"/>
              <w:right w:val="nil"/>
            </w:tcBorders>
            <w:shd w:val="clear" w:color="auto" w:fill="auto"/>
            <w:vAlign w:val="bottom"/>
            <w:hideMark/>
          </w:tcPr>
          <w:p w14:paraId="1C6A054D"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2A5A21C8"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c.</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5ECEC215"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Recording fees/document prep.</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3CF883F5"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200.00</w:t>
            </w:r>
          </w:p>
        </w:tc>
      </w:tr>
      <w:tr w:rsidR="00D127CE" w:rsidRPr="00D127CE" w14:paraId="0D797A97" w14:textId="77777777" w:rsidTr="00D127CE">
        <w:tc>
          <w:tcPr>
            <w:tcW w:w="0" w:type="auto"/>
            <w:vMerge/>
            <w:tcBorders>
              <w:top w:val="nil"/>
              <w:left w:val="nil"/>
              <w:bottom w:val="nil"/>
              <w:right w:val="nil"/>
            </w:tcBorders>
            <w:shd w:val="clear" w:color="auto" w:fill="auto"/>
            <w:vAlign w:val="bottom"/>
            <w:hideMark/>
          </w:tcPr>
          <w:p w14:paraId="6DA36CC8"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31913755"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d.</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2B048954"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Hazard insurance—one-year policy—Rock of Gibraltar Ins. Co.</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68151FFF"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420.00</w:t>
            </w:r>
          </w:p>
        </w:tc>
      </w:tr>
      <w:tr w:rsidR="00D127CE" w:rsidRPr="00D127CE" w14:paraId="476C591D" w14:textId="77777777" w:rsidTr="00D127CE">
        <w:tc>
          <w:tcPr>
            <w:tcW w:w="0" w:type="auto"/>
            <w:vMerge/>
            <w:tcBorders>
              <w:top w:val="nil"/>
              <w:left w:val="nil"/>
              <w:bottom w:val="nil"/>
              <w:right w:val="nil"/>
            </w:tcBorders>
            <w:shd w:val="clear" w:color="auto" w:fill="auto"/>
            <w:vAlign w:val="bottom"/>
            <w:hideMark/>
          </w:tcPr>
          <w:p w14:paraId="0860BD7D"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02521498"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e.</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21ECB6D4"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 xml:space="preserve">Peggy </w:t>
            </w:r>
            <w:proofErr w:type="gramStart"/>
            <w:r w:rsidRPr="00D127CE">
              <w:rPr>
                <w:rFonts w:ascii="Garamond" w:hAnsi="Garamond"/>
                <w:sz w:val="24"/>
                <w:szCs w:val="24"/>
              </w:rPr>
              <w:t>Prudent—attorney</w:t>
            </w:r>
            <w:proofErr w:type="gramEnd"/>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112EB1EC"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150.00</w:t>
            </w:r>
          </w:p>
        </w:tc>
      </w:tr>
      <w:tr w:rsidR="00D127CE" w:rsidRPr="00D127CE" w14:paraId="15690F5D" w14:textId="77777777" w:rsidTr="00D127CE">
        <w:tc>
          <w:tcPr>
            <w:tcW w:w="0" w:type="auto"/>
            <w:vMerge/>
            <w:tcBorders>
              <w:top w:val="nil"/>
              <w:left w:val="nil"/>
              <w:bottom w:val="nil"/>
              <w:right w:val="nil"/>
            </w:tcBorders>
            <w:shd w:val="clear" w:color="auto" w:fill="auto"/>
            <w:vAlign w:val="bottom"/>
            <w:hideMark/>
          </w:tcPr>
          <w:p w14:paraId="22A39816"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790E42B4"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f.</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3321F4DE"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Inspections</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38BBBDB1"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50.00</w:t>
            </w:r>
          </w:p>
        </w:tc>
      </w:tr>
      <w:tr w:rsidR="00D127CE" w:rsidRPr="00D127CE" w14:paraId="25F26C71" w14:textId="77777777" w:rsidTr="00D127CE">
        <w:tc>
          <w:tcPr>
            <w:tcW w:w="0" w:type="auto"/>
            <w:vMerge/>
            <w:tcBorders>
              <w:top w:val="nil"/>
              <w:left w:val="nil"/>
              <w:bottom w:val="nil"/>
              <w:right w:val="nil"/>
            </w:tcBorders>
            <w:shd w:val="clear" w:color="auto" w:fill="auto"/>
            <w:vAlign w:val="bottom"/>
            <w:hideMark/>
          </w:tcPr>
          <w:p w14:paraId="7A7F1103"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77BCA310"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g.</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1AC88A23"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Title insurance fee (</w:t>
            </w:r>
            <w:proofErr w:type="spellStart"/>
            <w:r w:rsidRPr="00D127CE">
              <w:rPr>
                <w:rFonts w:ascii="Garamond" w:hAnsi="Garamond"/>
                <w:sz w:val="24"/>
                <w:szCs w:val="24"/>
              </w:rPr>
              <w:t>Landco</w:t>
            </w:r>
            <w:proofErr w:type="spellEnd"/>
            <w:r w:rsidRPr="00D127CE">
              <w:rPr>
                <w:rFonts w:ascii="Garamond" w:hAnsi="Garamond"/>
                <w:sz w:val="24"/>
                <w:szCs w:val="24"/>
              </w:rPr>
              <w:t xml:space="preserve"> Title Co.)</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1A6814CB"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400.00</w:t>
            </w:r>
          </w:p>
        </w:tc>
      </w:tr>
      <w:tr w:rsidR="00D127CE" w:rsidRPr="00D127CE" w14:paraId="327FD26B" w14:textId="77777777" w:rsidTr="00D127CE">
        <w:tc>
          <w:tcPr>
            <w:tcW w:w="0" w:type="auto"/>
            <w:vMerge/>
            <w:tcBorders>
              <w:top w:val="nil"/>
              <w:left w:val="nil"/>
              <w:bottom w:val="nil"/>
              <w:right w:val="nil"/>
            </w:tcBorders>
            <w:shd w:val="clear" w:color="auto" w:fill="auto"/>
            <w:vAlign w:val="bottom"/>
            <w:hideMark/>
          </w:tcPr>
          <w:p w14:paraId="6036E378"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34C16A2E"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h.</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7B133CA7" w14:textId="77777777" w:rsidR="00D127CE" w:rsidRPr="00D127CE" w:rsidRDefault="00D127CE" w:rsidP="00D127CE">
            <w:pPr>
              <w:spacing w:after="0" w:line="360" w:lineRule="auto"/>
              <w:rPr>
                <w:rFonts w:ascii="Garamond" w:hAnsi="Garamond"/>
                <w:sz w:val="24"/>
                <w:szCs w:val="24"/>
              </w:rPr>
            </w:pPr>
            <w:proofErr w:type="spellStart"/>
            <w:r w:rsidRPr="00D127CE">
              <w:rPr>
                <w:rFonts w:ascii="Garamond" w:hAnsi="Garamond"/>
                <w:sz w:val="24"/>
                <w:szCs w:val="24"/>
              </w:rPr>
              <w:t>Landco</w:t>
            </w:r>
            <w:proofErr w:type="spellEnd"/>
            <w:r w:rsidRPr="00D127CE">
              <w:rPr>
                <w:rFonts w:ascii="Garamond" w:hAnsi="Garamond"/>
                <w:sz w:val="24"/>
                <w:szCs w:val="24"/>
              </w:rPr>
              <w:t xml:space="preserve"> Title Co.—closing fee</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2C0AB99F"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125.00</w:t>
            </w:r>
          </w:p>
        </w:tc>
      </w:tr>
      <w:tr w:rsidR="00D127CE" w:rsidRPr="00D127CE" w14:paraId="703F4CE2" w14:textId="77777777" w:rsidTr="00D127CE">
        <w:tc>
          <w:tcPr>
            <w:tcW w:w="0" w:type="auto"/>
            <w:vMerge w:val="restart"/>
            <w:tcBorders>
              <w:top w:val="nil"/>
              <w:left w:val="nil"/>
              <w:bottom w:val="nil"/>
              <w:right w:val="nil"/>
            </w:tcBorders>
            <w:shd w:val="clear" w:color="auto" w:fill="auto"/>
            <w:tcMar>
              <w:top w:w="150" w:type="dxa"/>
              <w:left w:w="300" w:type="dxa"/>
              <w:bottom w:w="45" w:type="dxa"/>
              <w:right w:w="150" w:type="dxa"/>
            </w:tcMar>
            <w:vAlign w:val="bottom"/>
            <w:hideMark/>
          </w:tcPr>
          <w:p w14:paraId="6CB81B8D"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II.</w:t>
            </w:r>
          </w:p>
        </w:tc>
        <w:tc>
          <w:tcPr>
            <w:tcW w:w="0" w:type="auto"/>
            <w:gridSpan w:val="3"/>
            <w:tcBorders>
              <w:top w:val="nil"/>
              <w:left w:val="nil"/>
              <w:bottom w:val="nil"/>
              <w:right w:val="nil"/>
            </w:tcBorders>
            <w:shd w:val="clear" w:color="auto" w:fill="auto"/>
            <w:tcMar>
              <w:top w:w="150" w:type="dxa"/>
              <w:left w:w="150" w:type="dxa"/>
              <w:bottom w:w="45" w:type="dxa"/>
              <w:right w:w="300" w:type="dxa"/>
            </w:tcMar>
            <w:vAlign w:val="bottom"/>
            <w:hideMark/>
          </w:tcPr>
          <w:p w14:paraId="6E05D167"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Transactions between seller and third parties:</w:t>
            </w:r>
          </w:p>
        </w:tc>
      </w:tr>
      <w:tr w:rsidR="00D127CE" w:rsidRPr="00D127CE" w14:paraId="4925BD6C" w14:textId="77777777" w:rsidTr="00D127CE">
        <w:tc>
          <w:tcPr>
            <w:tcW w:w="0" w:type="auto"/>
            <w:vMerge/>
            <w:tcBorders>
              <w:top w:val="nil"/>
              <w:left w:val="nil"/>
              <w:bottom w:val="nil"/>
              <w:right w:val="nil"/>
            </w:tcBorders>
            <w:shd w:val="clear" w:color="auto" w:fill="auto"/>
            <w:vAlign w:val="bottom"/>
            <w:hideMark/>
          </w:tcPr>
          <w:p w14:paraId="47756CAB"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7ED6AB9E"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a.</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0C82C1E4"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Release statement—seller’s mortgage</w:t>
            </w:r>
          </w:p>
        </w:tc>
        <w:tc>
          <w:tcPr>
            <w:tcW w:w="0" w:type="auto"/>
            <w:tcBorders>
              <w:top w:val="nil"/>
              <w:left w:val="nil"/>
              <w:bottom w:val="nil"/>
              <w:right w:val="nil"/>
            </w:tcBorders>
            <w:shd w:val="clear" w:color="auto" w:fill="auto"/>
            <w:noWrap/>
            <w:tcMar>
              <w:top w:w="150" w:type="dxa"/>
              <w:left w:w="150" w:type="dxa"/>
              <w:bottom w:w="45" w:type="dxa"/>
              <w:right w:w="300" w:type="dxa"/>
            </w:tcMar>
            <w:vAlign w:val="bottom"/>
            <w:hideMark/>
          </w:tcPr>
          <w:p w14:paraId="0F54F41D"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5.00</w:t>
            </w:r>
          </w:p>
        </w:tc>
      </w:tr>
      <w:tr w:rsidR="00D127CE" w:rsidRPr="00D127CE" w14:paraId="470CE409" w14:textId="77777777" w:rsidTr="00D127CE">
        <w:tc>
          <w:tcPr>
            <w:tcW w:w="0" w:type="auto"/>
            <w:vMerge/>
            <w:tcBorders>
              <w:top w:val="nil"/>
              <w:left w:val="nil"/>
              <w:bottom w:val="nil"/>
              <w:right w:val="nil"/>
            </w:tcBorders>
            <w:shd w:val="clear" w:color="auto" w:fill="auto"/>
            <w:vAlign w:val="bottom"/>
            <w:hideMark/>
          </w:tcPr>
          <w:p w14:paraId="47E0BD9D"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13D700A9"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b.</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3A4117F4"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Payoff—seller’s mortgage (Home State Bank)</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6E40CD32"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32,715.00</w:t>
            </w:r>
          </w:p>
        </w:tc>
      </w:tr>
      <w:tr w:rsidR="00D127CE" w:rsidRPr="00D127CE" w14:paraId="397E4868" w14:textId="77777777" w:rsidTr="00D127CE">
        <w:tc>
          <w:tcPr>
            <w:tcW w:w="0" w:type="auto"/>
            <w:vMerge/>
            <w:tcBorders>
              <w:top w:val="nil"/>
              <w:left w:val="nil"/>
              <w:bottom w:val="nil"/>
              <w:right w:val="nil"/>
            </w:tcBorders>
            <w:shd w:val="clear" w:color="auto" w:fill="auto"/>
            <w:vAlign w:val="bottom"/>
            <w:hideMark/>
          </w:tcPr>
          <w:p w14:paraId="54950443"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73D153C1"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c.</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40871603"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Real estate brokerage fee (6% Fast Deal Realty)</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19645785"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6,300.00</w:t>
            </w:r>
          </w:p>
        </w:tc>
      </w:tr>
      <w:tr w:rsidR="00D127CE" w:rsidRPr="00D127CE" w14:paraId="33A892FF" w14:textId="77777777" w:rsidTr="00D127CE">
        <w:tc>
          <w:tcPr>
            <w:tcW w:w="0" w:type="auto"/>
            <w:vMerge w:val="restart"/>
            <w:tcBorders>
              <w:top w:val="nil"/>
              <w:left w:val="nil"/>
              <w:bottom w:val="nil"/>
              <w:right w:val="nil"/>
            </w:tcBorders>
            <w:shd w:val="clear" w:color="auto" w:fill="auto"/>
            <w:tcMar>
              <w:top w:w="150" w:type="dxa"/>
              <w:left w:w="300" w:type="dxa"/>
              <w:bottom w:w="45" w:type="dxa"/>
              <w:right w:w="150" w:type="dxa"/>
            </w:tcMar>
            <w:vAlign w:val="bottom"/>
            <w:hideMark/>
          </w:tcPr>
          <w:p w14:paraId="3CAC955F"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III.</w:t>
            </w:r>
          </w:p>
        </w:tc>
        <w:tc>
          <w:tcPr>
            <w:tcW w:w="0" w:type="auto"/>
            <w:gridSpan w:val="3"/>
            <w:tcBorders>
              <w:top w:val="nil"/>
              <w:left w:val="nil"/>
              <w:bottom w:val="nil"/>
              <w:right w:val="nil"/>
            </w:tcBorders>
            <w:shd w:val="clear" w:color="auto" w:fill="auto"/>
            <w:tcMar>
              <w:top w:w="150" w:type="dxa"/>
              <w:left w:w="150" w:type="dxa"/>
              <w:bottom w:w="45" w:type="dxa"/>
              <w:right w:w="300" w:type="dxa"/>
            </w:tcMar>
            <w:vAlign w:val="bottom"/>
            <w:hideMark/>
          </w:tcPr>
          <w:p w14:paraId="43EB4450"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Buyer-borrower and lender information:</w:t>
            </w:r>
          </w:p>
        </w:tc>
      </w:tr>
      <w:tr w:rsidR="00D127CE" w:rsidRPr="00D127CE" w14:paraId="118C6AC2" w14:textId="77777777" w:rsidTr="00D127CE">
        <w:tc>
          <w:tcPr>
            <w:tcW w:w="0" w:type="auto"/>
            <w:vMerge/>
            <w:tcBorders>
              <w:top w:val="nil"/>
              <w:left w:val="nil"/>
              <w:bottom w:val="nil"/>
              <w:right w:val="nil"/>
            </w:tcBorders>
            <w:shd w:val="clear" w:color="auto" w:fill="auto"/>
            <w:vAlign w:val="bottom"/>
            <w:hideMark/>
          </w:tcPr>
          <w:p w14:paraId="651C039F"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7EC3D36F"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a.</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39934003"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Amount of loan</w:t>
            </w:r>
          </w:p>
        </w:tc>
        <w:tc>
          <w:tcPr>
            <w:tcW w:w="0" w:type="auto"/>
            <w:tcBorders>
              <w:top w:val="nil"/>
              <w:left w:val="nil"/>
              <w:bottom w:val="nil"/>
              <w:right w:val="nil"/>
            </w:tcBorders>
            <w:shd w:val="clear" w:color="auto" w:fill="auto"/>
            <w:noWrap/>
            <w:tcMar>
              <w:top w:w="150" w:type="dxa"/>
              <w:left w:w="150" w:type="dxa"/>
              <w:bottom w:w="45" w:type="dxa"/>
              <w:right w:w="300" w:type="dxa"/>
            </w:tcMar>
            <w:vAlign w:val="bottom"/>
            <w:hideMark/>
          </w:tcPr>
          <w:p w14:paraId="610B8223"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$ 84,000.00</w:t>
            </w:r>
          </w:p>
        </w:tc>
      </w:tr>
      <w:tr w:rsidR="00D127CE" w:rsidRPr="00D127CE" w14:paraId="2C6F153F" w14:textId="77777777" w:rsidTr="00D127CE">
        <w:tc>
          <w:tcPr>
            <w:tcW w:w="0" w:type="auto"/>
            <w:vMerge/>
            <w:tcBorders>
              <w:top w:val="nil"/>
              <w:left w:val="nil"/>
              <w:bottom w:val="nil"/>
              <w:right w:val="nil"/>
            </w:tcBorders>
            <w:shd w:val="clear" w:color="auto" w:fill="auto"/>
            <w:vAlign w:val="bottom"/>
            <w:hideMark/>
          </w:tcPr>
          <w:p w14:paraId="52E8597C"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36BDCF0D"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b.</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2ABCF9DE"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Prepaid interest is owed from closing through September 30, which equals nine days (inclusive). Regular payments to begin on November 1</w:t>
            </w:r>
            <w:proofErr w:type="gramStart"/>
            <w:r w:rsidRPr="00D127CE">
              <w:rPr>
                <w:rFonts w:ascii="Garamond" w:hAnsi="Garamond"/>
                <w:sz w:val="24"/>
                <w:szCs w:val="24"/>
              </w:rPr>
              <w:t>.[</w:t>
            </w:r>
            <w:proofErr w:type="gramEnd"/>
            <w:r w:rsidRPr="00D127CE">
              <w:rPr>
                <w:rFonts w:ascii="Garamond" w:hAnsi="Garamond"/>
                <w:sz w:val="24"/>
                <w:szCs w:val="24"/>
              </w:rPr>
              <w:t>.10×84,000)÷365]</w:t>
            </w:r>
            <w:r w:rsidRPr="00D127CE">
              <w:rPr>
                <w:rFonts w:ascii="Cambria Math" w:hAnsi="Cambria Math" w:cs="Cambria Math"/>
                <w:sz w:val="24"/>
                <w:szCs w:val="24"/>
              </w:rPr>
              <w:t>⋅</w:t>
            </w:r>
            <w:r w:rsidRPr="00D127CE">
              <w:rPr>
                <w:rFonts w:ascii="Garamond" w:hAnsi="Garamond"/>
                <w:sz w:val="24"/>
                <w:szCs w:val="24"/>
              </w:rPr>
              <w:t>91.[.10×84,000)÷365]</w:t>
            </w:r>
            <w:r w:rsidRPr="00D127CE">
              <w:rPr>
                <w:rFonts w:ascii="Cambria Math" w:hAnsi="Cambria Math" w:cs="Cambria Math"/>
                <w:sz w:val="24"/>
                <w:szCs w:val="24"/>
              </w:rPr>
              <w:t>⋅</w:t>
            </w:r>
            <w:r w:rsidRPr="00D127CE">
              <w:rPr>
                <w:rFonts w:ascii="Garamond" w:hAnsi="Garamond"/>
                <w:sz w:val="24"/>
                <w:szCs w:val="24"/>
              </w:rPr>
              <w:t>9</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2ECA92D1"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207.12</w:t>
            </w:r>
          </w:p>
        </w:tc>
      </w:tr>
      <w:tr w:rsidR="00D127CE" w:rsidRPr="00D127CE" w14:paraId="3DA73E23" w14:textId="77777777" w:rsidTr="00D127CE">
        <w:tc>
          <w:tcPr>
            <w:tcW w:w="0" w:type="auto"/>
            <w:vMerge/>
            <w:tcBorders>
              <w:top w:val="nil"/>
              <w:left w:val="nil"/>
              <w:bottom w:val="nil"/>
              <w:right w:val="nil"/>
            </w:tcBorders>
            <w:shd w:val="clear" w:color="auto" w:fill="auto"/>
            <w:vAlign w:val="bottom"/>
            <w:hideMark/>
          </w:tcPr>
          <w:p w14:paraId="3C8EEA01"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51B3F337"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c.</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7F86706D"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Property tax escrow—two months required</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6393F191"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133.33</w:t>
            </w:r>
          </w:p>
        </w:tc>
      </w:tr>
      <w:tr w:rsidR="00D127CE" w:rsidRPr="00D127CE" w14:paraId="0202C279" w14:textId="77777777" w:rsidTr="00D127CE">
        <w:tc>
          <w:tcPr>
            <w:tcW w:w="0" w:type="auto"/>
            <w:vMerge/>
            <w:tcBorders>
              <w:top w:val="nil"/>
              <w:left w:val="nil"/>
              <w:bottom w:val="nil"/>
              <w:right w:val="nil"/>
            </w:tcBorders>
            <w:shd w:val="clear" w:color="auto" w:fill="auto"/>
            <w:vAlign w:val="bottom"/>
            <w:hideMark/>
          </w:tcPr>
          <w:p w14:paraId="5407A539"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445A53BF"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d.</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584BB0A2"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Loan origination fee</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6AC4266B"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2,100.00</w:t>
            </w:r>
          </w:p>
        </w:tc>
      </w:tr>
      <w:tr w:rsidR="00D127CE" w:rsidRPr="00D127CE" w14:paraId="35F13637" w14:textId="77777777" w:rsidTr="00D127CE">
        <w:tc>
          <w:tcPr>
            <w:tcW w:w="0" w:type="auto"/>
            <w:vMerge w:val="restart"/>
            <w:tcBorders>
              <w:top w:val="nil"/>
              <w:left w:val="nil"/>
              <w:bottom w:val="nil"/>
              <w:right w:val="nil"/>
            </w:tcBorders>
            <w:shd w:val="clear" w:color="auto" w:fill="auto"/>
            <w:tcMar>
              <w:top w:w="150" w:type="dxa"/>
              <w:left w:w="300" w:type="dxa"/>
              <w:bottom w:w="45" w:type="dxa"/>
              <w:right w:w="150" w:type="dxa"/>
            </w:tcMar>
            <w:vAlign w:val="bottom"/>
            <w:hideMark/>
          </w:tcPr>
          <w:p w14:paraId="3EEB4924"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IV.</w:t>
            </w:r>
          </w:p>
        </w:tc>
        <w:tc>
          <w:tcPr>
            <w:tcW w:w="0" w:type="auto"/>
            <w:gridSpan w:val="3"/>
            <w:tcBorders>
              <w:top w:val="nil"/>
              <w:left w:val="nil"/>
              <w:bottom w:val="nil"/>
              <w:right w:val="nil"/>
            </w:tcBorders>
            <w:shd w:val="clear" w:color="auto" w:fill="auto"/>
            <w:tcMar>
              <w:top w:w="150" w:type="dxa"/>
              <w:left w:w="150" w:type="dxa"/>
              <w:bottom w:w="45" w:type="dxa"/>
              <w:right w:w="300" w:type="dxa"/>
            </w:tcMar>
            <w:vAlign w:val="bottom"/>
            <w:hideMark/>
          </w:tcPr>
          <w:p w14:paraId="6361B1DC"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Buyer and seller information:</w:t>
            </w:r>
          </w:p>
        </w:tc>
      </w:tr>
      <w:tr w:rsidR="00D127CE" w:rsidRPr="00D127CE" w14:paraId="5430E98B" w14:textId="77777777" w:rsidTr="00D127CE">
        <w:tc>
          <w:tcPr>
            <w:tcW w:w="0" w:type="auto"/>
            <w:vMerge/>
            <w:tcBorders>
              <w:top w:val="nil"/>
              <w:left w:val="nil"/>
              <w:bottom w:val="nil"/>
              <w:right w:val="nil"/>
            </w:tcBorders>
            <w:shd w:val="clear" w:color="auto" w:fill="auto"/>
            <w:vAlign w:val="bottom"/>
            <w:hideMark/>
          </w:tcPr>
          <w:p w14:paraId="01B9A809"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4A7022C2"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a.</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4AF23CE0"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Purchase price</w:t>
            </w:r>
          </w:p>
        </w:tc>
        <w:tc>
          <w:tcPr>
            <w:tcW w:w="0" w:type="auto"/>
            <w:tcBorders>
              <w:top w:val="nil"/>
              <w:left w:val="nil"/>
              <w:bottom w:val="nil"/>
              <w:right w:val="nil"/>
            </w:tcBorders>
            <w:shd w:val="clear" w:color="auto" w:fill="auto"/>
            <w:noWrap/>
            <w:tcMar>
              <w:top w:w="150" w:type="dxa"/>
              <w:left w:w="150" w:type="dxa"/>
              <w:bottom w:w="45" w:type="dxa"/>
              <w:right w:w="300" w:type="dxa"/>
            </w:tcMar>
            <w:vAlign w:val="bottom"/>
            <w:hideMark/>
          </w:tcPr>
          <w:p w14:paraId="4A164A65"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$105,000.00</w:t>
            </w:r>
          </w:p>
        </w:tc>
      </w:tr>
      <w:tr w:rsidR="00D127CE" w:rsidRPr="00D127CE" w14:paraId="0D2E4429" w14:textId="77777777" w:rsidTr="00D127CE">
        <w:tc>
          <w:tcPr>
            <w:tcW w:w="0" w:type="auto"/>
            <w:vMerge/>
            <w:tcBorders>
              <w:top w:val="nil"/>
              <w:left w:val="nil"/>
              <w:bottom w:val="nil"/>
              <w:right w:val="nil"/>
            </w:tcBorders>
            <w:shd w:val="clear" w:color="auto" w:fill="auto"/>
            <w:vAlign w:val="bottom"/>
            <w:hideMark/>
          </w:tcPr>
          <w:p w14:paraId="737C6610"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06647B96"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b.</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57E5E210"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Deposit paid by Cleaver to Ward (paid in escrow to OKAY National Bank)</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14:paraId="291E5EF9"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1,500.00</w:t>
            </w:r>
          </w:p>
        </w:tc>
      </w:tr>
      <w:tr w:rsidR="00D127CE" w:rsidRPr="00D127CE" w14:paraId="232B8457" w14:textId="77777777" w:rsidTr="00D127CE">
        <w:tc>
          <w:tcPr>
            <w:tcW w:w="0" w:type="auto"/>
            <w:vMerge/>
            <w:tcBorders>
              <w:top w:val="nil"/>
              <w:left w:val="nil"/>
              <w:bottom w:val="nil"/>
              <w:right w:val="nil"/>
            </w:tcBorders>
            <w:shd w:val="clear" w:color="auto" w:fill="auto"/>
            <w:vAlign w:val="bottom"/>
            <w:hideMark/>
          </w:tcPr>
          <w:p w14:paraId="42F99A3B" w14:textId="77777777" w:rsidR="00D127CE" w:rsidRPr="00D127CE" w:rsidRDefault="00D127CE" w:rsidP="00D127CE">
            <w:pPr>
              <w:spacing w:after="0" w:line="360" w:lineRule="auto"/>
              <w:rPr>
                <w:rFonts w:ascii="Garamond" w:hAnsi="Garamond"/>
                <w:sz w:val="24"/>
                <w:szCs w:val="24"/>
              </w:rPr>
            </w:pPr>
          </w:p>
        </w:tc>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14:paraId="7C9EB241"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c.</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14:paraId="6F296C3C"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Real estate tax proration (taxes for the current year to be paid in arrears by BUYER to county next January 1: $800 per year). Therefore, because the SELLER will own the property from January 1 to September 22, or 264 days. Therefore, the Buyer owes for the 101 days prior to closing and transfer of title Therefore, a credit for part of the $800-per-year real estate tax (for 264 days) is due to buyer from seller at closing.</w:t>
            </w:r>
          </w:p>
        </w:tc>
        <w:tc>
          <w:tcPr>
            <w:tcW w:w="0" w:type="auto"/>
            <w:tcBorders>
              <w:top w:val="nil"/>
              <w:left w:val="nil"/>
              <w:bottom w:val="nil"/>
              <w:right w:val="nil"/>
            </w:tcBorders>
            <w:shd w:val="clear" w:color="auto" w:fill="auto"/>
            <w:noWrap/>
            <w:tcMar>
              <w:top w:w="150" w:type="dxa"/>
              <w:left w:w="150" w:type="dxa"/>
              <w:bottom w:w="45" w:type="dxa"/>
              <w:right w:w="300" w:type="dxa"/>
            </w:tcMar>
            <w:vAlign w:val="bottom"/>
            <w:hideMark/>
          </w:tcPr>
          <w:p w14:paraId="232A271F"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rPr>
              <w:t>$ 578.63</w:t>
            </w:r>
          </w:p>
        </w:tc>
      </w:tr>
    </w:tbl>
    <w:p w14:paraId="5780BA4C" w14:textId="77777777" w:rsidR="00D127CE" w:rsidRPr="00D127CE" w:rsidRDefault="00D127CE" w:rsidP="00D127CE">
      <w:pPr>
        <w:spacing w:after="0" w:line="360" w:lineRule="auto"/>
        <w:rPr>
          <w:rFonts w:ascii="Garamond" w:hAnsi="Garamond"/>
          <w:sz w:val="24"/>
          <w:szCs w:val="24"/>
        </w:rPr>
      </w:pPr>
      <w:r w:rsidRPr="00D127CE">
        <w:rPr>
          <w:rFonts w:ascii="Garamond" w:hAnsi="Garamond"/>
          <w:sz w:val="24"/>
          <w:szCs w:val="24"/>
          <w:u w:val="single"/>
        </w:rPr>
        <w:t>Required</w:t>
      </w:r>
      <w:r w:rsidRPr="00D127CE">
        <w:rPr>
          <w:rFonts w:ascii="Garamond" w:hAnsi="Garamond"/>
          <w:sz w:val="24"/>
          <w:szCs w:val="24"/>
        </w:rPr>
        <w:t>:</w:t>
      </w:r>
    </w:p>
    <w:p w14:paraId="0077D466" w14:textId="07F4A9BD" w:rsidR="00D127CE" w:rsidRPr="00D127CE" w:rsidRDefault="00D127CE" w:rsidP="00D127CE">
      <w:pPr>
        <w:pStyle w:val="ListParagraph"/>
        <w:numPr>
          <w:ilvl w:val="0"/>
          <w:numId w:val="34"/>
        </w:numPr>
        <w:spacing w:after="0" w:line="360" w:lineRule="auto"/>
        <w:rPr>
          <w:rFonts w:ascii="Garamond" w:hAnsi="Garamond"/>
          <w:sz w:val="24"/>
          <w:szCs w:val="24"/>
        </w:rPr>
      </w:pPr>
      <w:r w:rsidRPr="00D127CE">
        <w:rPr>
          <w:rFonts w:ascii="Garamond" w:hAnsi="Garamond"/>
          <w:sz w:val="24"/>
          <w:szCs w:val="24"/>
        </w:rPr>
        <w:t>What are the amounts due from the borrower and due to the seller at closing?</w:t>
      </w:r>
    </w:p>
    <w:p w14:paraId="101BF7EB" w14:textId="42D51A4D" w:rsidR="00D127CE" w:rsidRPr="00D127CE" w:rsidRDefault="00D127CE" w:rsidP="00D127CE">
      <w:pPr>
        <w:pStyle w:val="ListParagraph"/>
        <w:numPr>
          <w:ilvl w:val="0"/>
          <w:numId w:val="34"/>
        </w:numPr>
        <w:spacing w:after="0" w:line="360" w:lineRule="auto"/>
        <w:rPr>
          <w:rFonts w:ascii="Garamond" w:hAnsi="Garamond"/>
          <w:sz w:val="24"/>
          <w:szCs w:val="24"/>
        </w:rPr>
      </w:pPr>
      <w:r w:rsidRPr="00D127CE">
        <w:rPr>
          <w:rFonts w:ascii="Garamond" w:hAnsi="Garamond"/>
          <w:sz w:val="24"/>
          <w:szCs w:val="24"/>
        </w:rPr>
        <w:t>What would be the disclosed annual percentage rate as required under the Truth-in-Lending Act?</w:t>
      </w:r>
    </w:p>
    <w:p w14:paraId="1C02A1F4" w14:textId="2E928BC0" w:rsidR="00D127CE" w:rsidRPr="00D127CE" w:rsidRDefault="00D127CE" w:rsidP="00D127CE">
      <w:pPr>
        <w:pStyle w:val="ListParagraph"/>
        <w:numPr>
          <w:ilvl w:val="0"/>
          <w:numId w:val="34"/>
        </w:numPr>
        <w:spacing w:after="0" w:line="360" w:lineRule="auto"/>
        <w:rPr>
          <w:rFonts w:ascii="Garamond" w:hAnsi="Garamond"/>
          <w:sz w:val="24"/>
          <w:szCs w:val="24"/>
        </w:rPr>
      </w:pPr>
      <w:r w:rsidRPr="00D127CE">
        <w:rPr>
          <w:rFonts w:ascii="Garamond" w:hAnsi="Garamond"/>
          <w:sz w:val="24"/>
          <w:szCs w:val="24"/>
        </w:rPr>
        <w:t>When will the first regular monthly mortgage payment be due from the borrower?</w:t>
      </w:r>
    </w:p>
    <w:p w14:paraId="78DD3337" w14:textId="2C0BD9BB" w:rsidR="00D127CE" w:rsidRPr="00D127CE" w:rsidRDefault="00D127CE" w:rsidP="00D127CE">
      <w:pPr>
        <w:spacing w:after="0" w:line="360" w:lineRule="auto"/>
        <w:rPr>
          <w:rFonts w:ascii="Garamond" w:hAnsi="Garamond"/>
          <w:sz w:val="24"/>
          <w:szCs w:val="24"/>
        </w:rPr>
      </w:pPr>
    </w:p>
    <w:sectPr w:rsidR="00D127CE" w:rsidRPr="00D12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171"/>
    <w:multiLevelType w:val="multilevel"/>
    <w:tmpl w:val="13C8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0507F"/>
    <w:multiLevelType w:val="multilevel"/>
    <w:tmpl w:val="BC2C7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ED6614"/>
    <w:multiLevelType w:val="hybridMultilevel"/>
    <w:tmpl w:val="FC5CD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9600B"/>
    <w:multiLevelType w:val="hybridMultilevel"/>
    <w:tmpl w:val="A6848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35266"/>
    <w:multiLevelType w:val="multilevel"/>
    <w:tmpl w:val="8E5A9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B65DC"/>
    <w:multiLevelType w:val="hybridMultilevel"/>
    <w:tmpl w:val="29089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E05C1"/>
    <w:multiLevelType w:val="multilevel"/>
    <w:tmpl w:val="C62AC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720489"/>
    <w:multiLevelType w:val="multilevel"/>
    <w:tmpl w:val="6406A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6337A2"/>
    <w:multiLevelType w:val="multilevel"/>
    <w:tmpl w:val="78408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D54D75"/>
    <w:multiLevelType w:val="multilevel"/>
    <w:tmpl w:val="78408F6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9204AE"/>
    <w:multiLevelType w:val="multilevel"/>
    <w:tmpl w:val="6F02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51112"/>
    <w:multiLevelType w:val="hybridMultilevel"/>
    <w:tmpl w:val="63144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B58C1"/>
    <w:multiLevelType w:val="multilevel"/>
    <w:tmpl w:val="425C3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102DDE"/>
    <w:multiLevelType w:val="multilevel"/>
    <w:tmpl w:val="A22872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CE2E72"/>
    <w:multiLevelType w:val="multilevel"/>
    <w:tmpl w:val="78408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695730"/>
    <w:multiLevelType w:val="hybridMultilevel"/>
    <w:tmpl w:val="6BB20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65B01"/>
    <w:multiLevelType w:val="multilevel"/>
    <w:tmpl w:val="D7B0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CC4604"/>
    <w:multiLevelType w:val="hybridMultilevel"/>
    <w:tmpl w:val="F5C08B0A"/>
    <w:lvl w:ilvl="0" w:tplc="A2041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3709E"/>
    <w:multiLevelType w:val="multilevel"/>
    <w:tmpl w:val="78408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01F0619"/>
    <w:multiLevelType w:val="hybridMultilevel"/>
    <w:tmpl w:val="C12C7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770CD"/>
    <w:multiLevelType w:val="multilevel"/>
    <w:tmpl w:val="78408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38F6898"/>
    <w:multiLevelType w:val="hybridMultilevel"/>
    <w:tmpl w:val="D172B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7344F"/>
    <w:multiLevelType w:val="multilevel"/>
    <w:tmpl w:val="D73E0C80"/>
    <w:lvl w:ilvl="0">
      <w:start w:val="1"/>
      <w:numFmt w:val="low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9556B43"/>
    <w:multiLevelType w:val="hybridMultilevel"/>
    <w:tmpl w:val="FC84F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06011A"/>
    <w:multiLevelType w:val="multilevel"/>
    <w:tmpl w:val="DFD8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6B3D36"/>
    <w:multiLevelType w:val="hybridMultilevel"/>
    <w:tmpl w:val="C3841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22D0D"/>
    <w:multiLevelType w:val="hybridMultilevel"/>
    <w:tmpl w:val="550E5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55B59"/>
    <w:multiLevelType w:val="hybridMultilevel"/>
    <w:tmpl w:val="A0044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660BE"/>
    <w:multiLevelType w:val="hybridMultilevel"/>
    <w:tmpl w:val="7FBCC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306F8"/>
    <w:multiLevelType w:val="hybridMultilevel"/>
    <w:tmpl w:val="65E46B9C"/>
    <w:lvl w:ilvl="0" w:tplc="5B5A2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57938"/>
    <w:multiLevelType w:val="hybridMultilevel"/>
    <w:tmpl w:val="FB12A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726C4"/>
    <w:multiLevelType w:val="hybridMultilevel"/>
    <w:tmpl w:val="5A40B97C"/>
    <w:lvl w:ilvl="0" w:tplc="3E0A6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D78D1"/>
    <w:multiLevelType w:val="multilevel"/>
    <w:tmpl w:val="5C76A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D3075E"/>
    <w:multiLevelType w:val="multilevel"/>
    <w:tmpl w:val="A79CB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0"/>
  </w:num>
  <w:num w:numId="3">
    <w:abstractNumId w:val="16"/>
  </w:num>
  <w:num w:numId="4">
    <w:abstractNumId w:val="29"/>
  </w:num>
  <w:num w:numId="5">
    <w:abstractNumId w:val="17"/>
  </w:num>
  <w:num w:numId="6">
    <w:abstractNumId w:val="22"/>
  </w:num>
  <w:num w:numId="7">
    <w:abstractNumId w:val="13"/>
  </w:num>
  <w:num w:numId="8">
    <w:abstractNumId w:val="4"/>
  </w:num>
  <w:num w:numId="9">
    <w:abstractNumId w:val="31"/>
  </w:num>
  <w:num w:numId="10">
    <w:abstractNumId w:val="20"/>
  </w:num>
  <w:num w:numId="11">
    <w:abstractNumId w:val="6"/>
  </w:num>
  <w:num w:numId="12">
    <w:abstractNumId w:val="1"/>
  </w:num>
  <w:num w:numId="13">
    <w:abstractNumId w:val="12"/>
  </w:num>
  <w:num w:numId="14">
    <w:abstractNumId w:val="33"/>
  </w:num>
  <w:num w:numId="15">
    <w:abstractNumId w:val="7"/>
  </w:num>
  <w:num w:numId="16">
    <w:abstractNumId w:val="11"/>
  </w:num>
  <w:num w:numId="17">
    <w:abstractNumId w:val="26"/>
  </w:num>
  <w:num w:numId="18">
    <w:abstractNumId w:val="27"/>
  </w:num>
  <w:num w:numId="19">
    <w:abstractNumId w:val="25"/>
  </w:num>
  <w:num w:numId="20">
    <w:abstractNumId w:val="2"/>
  </w:num>
  <w:num w:numId="21">
    <w:abstractNumId w:val="15"/>
  </w:num>
  <w:num w:numId="22">
    <w:abstractNumId w:val="9"/>
  </w:num>
  <w:num w:numId="23">
    <w:abstractNumId w:val="10"/>
  </w:num>
  <w:num w:numId="24">
    <w:abstractNumId w:val="32"/>
  </w:num>
  <w:num w:numId="25">
    <w:abstractNumId w:val="21"/>
  </w:num>
  <w:num w:numId="26">
    <w:abstractNumId w:val="3"/>
  </w:num>
  <w:num w:numId="27">
    <w:abstractNumId w:val="5"/>
  </w:num>
  <w:num w:numId="28">
    <w:abstractNumId w:val="8"/>
  </w:num>
  <w:num w:numId="29">
    <w:abstractNumId w:val="30"/>
  </w:num>
  <w:num w:numId="30">
    <w:abstractNumId w:val="28"/>
  </w:num>
  <w:num w:numId="31">
    <w:abstractNumId w:val="14"/>
  </w:num>
  <w:num w:numId="32">
    <w:abstractNumId w:val="24"/>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7D"/>
    <w:rsid w:val="00025FC0"/>
    <w:rsid w:val="00034ABD"/>
    <w:rsid w:val="00081C87"/>
    <w:rsid w:val="000F299D"/>
    <w:rsid w:val="00186CFB"/>
    <w:rsid w:val="00235092"/>
    <w:rsid w:val="00380CAF"/>
    <w:rsid w:val="003A462D"/>
    <w:rsid w:val="00525873"/>
    <w:rsid w:val="005F169F"/>
    <w:rsid w:val="00665A3D"/>
    <w:rsid w:val="006F207D"/>
    <w:rsid w:val="00A75B9B"/>
    <w:rsid w:val="00BC3EA6"/>
    <w:rsid w:val="00D127CE"/>
    <w:rsid w:val="00D2775D"/>
    <w:rsid w:val="00DE0105"/>
    <w:rsid w:val="00F9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F84F"/>
  <w15:chartTrackingRefBased/>
  <w15:docId w15:val="{B6B05560-7D8F-4506-A26A-80BBB33C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07D"/>
    <w:pPr>
      <w:spacing w:after="0" w:line="240" w:lineRule="auto"/>
    </w:pPr>
  </w:style>
  <w:style w:type="paragraph" w:styleId="ListParagraph">
    <w:name w:val="List Paragraph"/>
    <w:basedOn w:val="Normal"/>
    <w:uiPriority w:val="34"/>
    <w:qFormat/>
    <w:rsid w:val="006F207D"/>
    <w:pPr>
      <w:ind w:left="720"/>
      <w:contextualSpacing/>
    </w:pPr>
  </w:style>
  <w:style w:type="paragraph" w:styleId="BalloonText">
    <w:name w:val="Balloon Text"/>
    <w:basedOn w:val="Normal"/>
    <w:link w:val="BalloonTextChar"/>
    <w:uiPriority w:val="99"/>
    <w:semiHidden/>
    <w:unhideWhenUsed/>
    <w:rsid w:val="00034A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4ABD"/>
    <w:rPr>
      <w:rFonts w:ascii="Times New Roman" w:hAnsi="Times New Roman" w:cs="Times New Roman"/>
      <w:sz w:val="18"/>
      <w:szCs w:val="18"/>
    </w:rPr>
  </w:style>
  <w:style w:type="character" w:customStyle="1" w:styleId="no-break">
    <w:name w:val="no-break"/>
    <w:basedOn w:val="DefaultParagraphFont"/>
    <w:rsid w:val="00DE0105"/>
  </w:style>
  <w:style w:type="paragraph" w:styleId="NormalWeb">
    <w:name w:val="Normal (Web)"/>
    <w:basedOn w:val="Normal"/>
    <w:uiPriority w:val="99"/>
    <w:unhideWhenUsed/>
    <w:rsid w:val="00DE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0F299D"/>
  </w:style>
  <w:style w:type="character" w:customStyle="1" w:styleId="mtext">
    <w:name w:val="mtext"/>
    <w:basedOn w:val="DefaultParagraphFont"/>
    <w:rsid w:val="00525873"/>
  </w:style>
  <w:style w:type="character" w:customStyle="1" w:styleId="mjxassistivemathml">
    <w:name w:val="mjx_assistive_mathml"/>
    <w:basedOn w:val="DefaultParagraphFont"/>
    <w:rsid w:val="00525873"/>
  </w:style>
  <w:style w:type="character" w:customStyle="1" w:styleId="mn">
    <w:name w:val="mn"/>
    <w:basedOn w:val="DefaultParagraphFont"/>
    <w:rsid w:val="00D127CE"/>
  </w:style>
  <w:style w:type="character" w:customStyle="1" w:styleId="mo">
    <w:name w:val="mo"/>
    <w:basedOn w:val="DefaultParagraphFont"/>
    <w:rsid w:val="00D1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2905">
      <w:bodyDiv w:val="1"/>
      <w:marLeft w:val="0"/>
      <w:marRight w:val="0"/>
      <w:marTop w:val="0"/>
      <w:marBottom w:val="0"/>
      <w:divBdr>
        <w:top w:val="none" w:sz="0" w:space="0" w:color="auto"/>
        <w:left w:val="none" w:sz="0" w:space="0" w:color="auto"/>
        <w:bottom w:val="none" w:sz="0" w:space="0" w:color="auto"/>
        <w:right w:val="none" w:sz="0" w:space="0" w:color="auto"/>
      </w:divBdr>
    </w:div>
    <w:div w:id="104203796">
      <w:bodyDiv w:val="1"/>
      <w:marLeft w:val="0"/>
      <w:marRight w:val="0"/>
      <w:marTop w:val="0"/>
      <w:marBottom w:val="0"/>
      <w:divBdr>
        <w:top w:val="none" w:sz="0" w:space="0" w:color="auto"/>
        <w:left w:val="none" w:sz="0" w:space="0" w:color="auto"/>
        <w:bottom w:val="none" w:sz="0" w:space="0" w:color="auto"/>
        <w:right w:val="none" w:sz="0" w:space="0" w:color="auto"/>
      </w:divBdr>
    </w:div>
    <w:div w:id="131561855">
      <w:bodyDiv w:val="1"/>
      <w:marLeft w:val="0"/>
      <w:marRight w:val="0"/>
      <w:marTop w:val="0"/>
      <w:marBottom w:val="0"/>
      <w:divBdr>
        <w:top w:val="none" w:sz="0" w:space="0" w:color="auto"/>
        <w:left w:val="none" w:sz="0" w:space="0" w:color="auto"/>
        <w:bottom w:val="none" w:sz="0" w:space="0" w:color="auto"/>
        <w:right w:val="none" w:sz="0" w:space="0" w:color="auto"/>
      </w:divBdr>
    </w:div>
    <w:div w:id="184835330">
      <w:bodyDiv w:val="1"/>
      <w:marLeft w:val="0"/>
      <w:marRight w:val="0"/>
      <w:marTop w:val="0"/>
      <w:marBottom w:val="0"/>
      <w:divBdr>
        <w:top w:val="none" w:sz="0" w:space="0" w:color="auto"/>
        <w:left w:val="none" w:sz="0" w:space="0" w:color="auto"/>
        <w:bottom w:val="none" w:sz="0" w:space="0" w:color="auto"/>
        <w:right w:val="none" w:sz="0" w:space="0" w:color="auto"/>
      </w:divBdr>
    </w:div>
    <w:div w:id="376857840">
      <w:bodyDiv w:val="1"/>
      <w:marLeft w:val="0"/>
      <w:marRight w:val="0"/>
      <w:marTop w:val="0"/>
      <w:marBottom w:val="0"/>
      <w:divBdr>
        <w:top w:val="none" w:sz="0" w:space="0" w:color="auto"/>
        <w:left w:val="none" w:sz="0" w:space="0" w:color="auto"/>
        <w:bottom w:val="none" w:sz="0" w:space="0" w:color="auto"/>
        <w:right w:val="none" w:sz="0" w:space="0" w:color="auto"/>
      </w:divBdr>
    </w:div>
    <w:div w:id="386151742">
      <w:bodyDiv w:val="1"/>
      <w:marLeft w:val="0"/>
      <w:marRight w:val="0"/>
      <w:marTop w:val="0"/>
      <w:marBottom w:val="0"/>
      <w:divBdr>
        <w:top w:val="none" w:sz="0" w:space="0" w:color="auto"/>
        <w:left w:val="none" w:sz="0" w:space="0" w:color="auto"/>
        <w:bottom w:val="none" w:sz="0" w:space="0" w:color="auto"/>
        <w:right w:val="none" w:sz="0" w:space="0" w:color="auto"/>
      </w:divBdr>
    </w:div>
    <w:div w:id="495653780">
      <w:bodyDiv w:val="1"/>
      <w:marLeft w:val="0"/>
      <w:marRight w:val="0"/>
      <w:marTop w:val="0"/>
      <w:marBottom w:val="0"/>
      <w:divBdr>
        <w:top w:val="none" w:sz="0" w:space="0" w:color="auto"/>
        <w:left w:val="none" w:sz="0" w:space="0" w:color="auto"/>
        <w:bottom w:val="none" w:sz="0" w:space="0" w:color="auto"/>
        <w:right w:val="none" w:sz="0" w:space="0" w:color="auto"/>
      </w:divBdr>
    </w:div>
    <w:div w:id="5060226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461">
          <w:marLeft w:val="0"/>
          <w:marRight w:val="0"/>
          <w:marTop w:val="0"/>
          <w:marBottom w:val="0"/>
          <w:divBdr>
            <w:top w:val="none" w:sz="0" w:space="0" w:color="auto"/>
            <w:left w:val="none" w:sz="0" w:space="0" w:color="auto"/>
            <w:bottom w:val="none" w:sz="0" w:space="0" w:color="auto"/>
            <w:right w:val="none" w:sz="0" w:space="0" w:color="auto"/>
          </w:divBdr>
        </w:div>
      </w:divsChild>
    </w:div>
    <w:div w:id="511991496">
      <w:bodyDiv w:val="1"/>
      <w:marLeft w:val="0"/>
      <w:marRight w:val="0"/>
      <w:marTop w:val="0"/>
      <w:marBottom w:val="0"/>
      <w:divBdr>
        <w:top w:val="none" w:sz="0" w:space="0" w:color="auto"/>
        <w:left w:val="none" w:sz="0" w:space="0" w:color="auto"/>
        <w:bottom w:val="none" w:sz="0" w:space="0" w:color="auto"/>
        <w:right w:val="none" w:sz="0" w:space="0" w:color="auto"/>
      </w:divBdr>
    </w:div>
    <w:div w:id="653680068">
      <w:bodyDiv w:val="1"/>
      <w:marLeft w:val="0"/>
      <w:marRight w:val="0"/>
      <w:marTop w:val="0"/>
      <w:marBottom w:val="0"/>
      <w:divBdr>
        <w:top w:val="none" w:sz="0" w:space="0" w:color="auto"/>
        <w:left w:val="none" w:sz="0" w:space="0" w:color="auto"/>
        <w:bottom w:val="none" w:sz="0" w:space="0" w:color="auto"/>
        <w:right w:val="none" w:sz="0" w:space="0" w:color="auto"/>
      </w:divBdr>
    </w:div>
    <w:div w:id="771514421">
      <w:bodyDiv w:val="1"/>
      <w:marLeft w:val="0"/>
      <w:marRight w:val="0"/>
      <w:marTop w:val="0"/>
      <w:marBottom w:val="0"/>
      <w:divBdr>
        <w:top w:val="none" w:sz="0" w:space="0" w:color="auto"/>
        <w:left w:val="none" w:sz="0" w:space="0" w:color="auto"/>
        <w:bottom w:val="none" w:sz="0" w:space="0" w:color="auto"/>
        <w:right w:val="none" w:sz="0" w:space="0" w:color="auto"/>
      </w:divBdr>
    </w:div>
    <w:div w:id="961618124">
      <w:bodyDiv w:val="1"/>
      <w:marLeft w:val="0"/>
      <w:marRight w:val="0"/>
      <w:marTop w:val="0"/>
      <w:marBottom w:val="0"/>
      <w:divBdr>
        <w:top w:val="none" w:sz="0" w:space="0" w:color="auto"/>
        <w:left w:val="none" w:sz="0" w:space="0" w:color="auto"/>
        <w:bottom w:val="none" w:sz="0" w:space="0" w:color="auto"/>
        <w:right w:val="none" w:sz="0" w:space="0" w:color="auto"/>
      </w:divBdr>
    </w:div>
    <w:div w:id="992097883">
      <w:bodyDiv w:val="1"/>
      <w:marLeft w:val="0"/>
      <w:marRight w:val="0"/>
      <w:marTop w:val="0"/>
      <w:marBottom w:val="0"/>
      <w:divBdr>
        <w:top w:val="none" w:sz="0" w:space="0" w:color="auto"/>
        <w:left w:val="none" w:sz="0" w:space="0" w:color="auto"/>
        <w:bottom w:val="none" w:sz="0" w:space="0" w:color="auto"/>
        <w:right w:val="none" w:sz="0" w:space="0" w:color="auto"/>
      </w:divBdr>
    </w:div>
    <w:div w:id="1083182131">
      <w:bodyDiv w:val="1"/>
      <w:marLeft w:val="0"/>
      <w:marRight w:val="0"/>
      <w:marTop w:val="0"/>
      <w:marBottom w:val="0"/>
      <w:divBdr>
        <w:top w:val="none" w:sz="0" w:space="0" w:color="auto"/>
        <w:left w:val="none" w:sz="0" w:space="0" w:color="auto"/>
        <w:bottom w:val="none" w:sz="0" w:space="0" w:color="auto"/>
        <w:right w:val="none" w:sz="0" w:space="0" w:color="auto"/>
      </w:divBdr>
    </w:div>
    <w:div w:id="1301693278">
      <w:bodyDiv w:val="1"/>
      <w:marLeft w:val="0"/>
      <w:marRight w:val="0"/>
      <w:marTop w:val="0"/>
      <w:marBottom w:val="0"/>
      <w:divBdr>
        <w:top w:val="none" w:sz="0" w:space="0" w:color="auto"/>
        <w:left w:val="none" w:sz="0" w:space="0" w:color="auto"/>
        <w:bottom w:val="none" w:sz="0" w:space="0" w:color="auto"/>
        <w:right w:val="none" w:sz="0" w:space="0" w:color="auto"/>
      </w:divBdr>
    </w:div>
    <w:div w:id="1370762646">
      <w:bodyDiv w:val="1"/>
      <w:marLeft w:val="0"/>
      <w:marRight w:val="0"/>
      <w:marTop w:val="0"/>
      <w:marBottom w:val="0"/>
      <w:divBdr>
        <w:top w:val="none" w:sz="0" w:space="0" w:color="auto"/>
        <w:left w:val="none" w:sz="0" w:space="0" w:color="auto"/>
        <w:bottom w:val="none" w:sz="0" w:space="0" w:color="auto"/>
        <w:right w:val="none" w:sz="0" w:space="0" w:color="auto"/>
      </w:divBdr>
    </w:div>
    <w:div w:id="1495105257">
      <w:bodyDiv w:val="1"/>
      <w:marLeft w:val="0"/>
      <w:marRight w:val="0"/>
      <w:marTop w:val="0"/>
      <w:marBottom w:val="0"/>
      <w:divBdr>
        <w:top w:val="none" w:sz="0" w:space="0" w:color="auto"/>
        <w:left w:val="none" w:sz="0" w:space="0" w:color="auto"/>
        <w:bottom w:val="none" w:sz="0" w:space="0" w:color="auto"/>
        <w:right w:val="none" w:sz="0" w:space="0" w:color="auto"/>
      </w:divBdr>
    </w:div>
    <w:div w:id="1517378299">
      <w:bodyDiv w:val="1"/>
      <w:marLeft w:val="0"/>
      <w:marRight w:val="0"/>
      <w:marTop w:val="0"/>
      <w:marBottom w:val="0"/>
      <w:divBdr>
        <w:top w:val="none" w:sz="0" w:space="0" w:color="auto"/>
        <w:left w:val="none" w:sz="0" w:space="0" w:color="auto"/>
        <w:bottom w:val="none" w:sz="0" w:space="0" w:color="auto"/>
        <w:right w:val="none" w:sz="0" w:space="0" w:color="auto"/>
      </w:divBdr>
    </w:div>
    <w:div w:id="1592543321">
      <w:bodyDiv w:val="1"/>
      <w:marLeft w:val="0"/>
      <w:marRight w:val="0"/>
      <w:marTop w:val="0"/>
      <w:marBottom w:val="0"/>
      <w:divBdr>
        <w:top w:val="none" w:sz="0" w:space="0" w:color="auto"/>
        <w:left w:val="none" w:sz="0" w:space="0" w:color="auto"/>
        <w:bottom w:val="none" w:sz="0" w:space="0" w:color="auto"/>
        <w:right w:val="none" w:sz="0" w:space="0" w:color="auto"/>
      </w:divBdr>
    </w:div>
    <w:div w:id="1680543990">
      <w:bodyDiv w:val="1"/>
      <w:marLeft w:val="0"/>
      <w:marRight w:val="0"/>
      <w:marTop w:val="0"/>
      <w:marBottom w:val="0"/>
      <w:divBdr>
        <w:top w:val="none" w:sz="0" w:space="0" w:color="auto"/>
        <w:left w:val="none" w:sz="0" w:space="0" w:color="auto"/>
        <w:bottom w:val="none" w:sz="0" w:space="0" w:color="auto"/>
        <w:right w:val="none" w:sz="0" w:space="0" w:color="auto"/>
      </w:divBdr>
    </w:div>
    <w:div w:id="1808863232">
      <w:bodyDiv w:val="1"/>
      <w:marLeft w:val="0"/>
      <w:marRight w:val="0"/>
      <w:marTop w:val="0"/>
      <w:marBottom w:val="0"/>
      <w:divBdr>
        <w:top w:val="none" w:sz="0" w:space="0" w:color="auto"/>
        <w:left w:val="none" w:sz="0" w:space="0" w:color="auto"/>
        <w:bottom w:val="none" w:sz="0" w:space="0" w:color="auto"/>
        <w:right w:val="none" w:sz="0" w:space="0" w:color="auto"/>
      </w:divBdr>
    </w:div>
    <w:div w:id="1853912465">
      <w:bodyDiv w:val="1"/>
      <w:marLeft w:val="0"/>
      <w:marRight w:val="0"/>
      <w:marTop w:val="0"/>
      <w:marBottom w:val="0"/>
      <w:divBdr>
        <w:top w:val="none" w:sz="0" w:space="0" w:color="auto"/>
        <w:left w:val="none" w:sz="0" w:space="0" w:color="auto"/>
        <w:bottom w:val="none" w:sz="0" w:space="0" w:color="auto"/>
        <w:right w:val="none" w:sz="0" w:space="0" w:color="auto"/>
      </w:divBdr>
    </w:div>
    <w:div w:id="1872037618">
      <w:bodyDiv w:val="1"/>
      <w:marLeft w:val="0"/>
      <w:marRight w:val="0"/>
      <w:marTop w:val="0"/>
      <w:marBottom w:val="0"/>
      <w:divBdr>
        <w:top w:val="none" w:sz="0" w:space="0" w:color="auto"/>
        <w:left w:val="none" w:sz="0" w:space="0" w:color="auto"/>
        <w:bottom w:val="none" w:sz="0" w:space="0" w:color="auto"/>
        <w:right w:val="none" w:sz="0" w:space="0" w:color="auto"/>
      </w:divBdr>
      <w:divsChild>
        <w:div w:id="1629358944">
          <w:marLeft w:val="0"/>
          <w:marRight w:val="0"/>
          <w:marTop w:val="0"/>
          <w:marBottom w:val="0"/>
          <w:divBdr>
            <w:top w:val="none" w:sz="0" w:space="0" w:color="auto"/>
            <w:left w:val="none" w:sz="0" w:space="0" w:color="auto"/>
            <w:bottom w:val="none" w:sz="0" w:space="0" w:color="auto"/>
            <w:right w:val="none" w:sz="0" w:space="0" w:color="auto"/>
          </w:divBdr>
        </w:div>
        <w:div w:id="92438366">
          <w:marLeft w:val="0"/>
          <w:marRight w:val="0"/>
          <w:marTop w:val="0"/>
          <w:marBottom w:val="0"/>
          <w:divBdr>
            <w:top w:val="none" w:sz="0" w:space="0" w:color="auto"/>
            <w:left w:val="none" w:sz="0" w:space="0" w:color="auto"/>
            <w:bottom w:val="none" w:sz="0" w:space="0" w:color="auto"/>
            <w:right w:val="none" w:sz="0" w:space="0" w:color="auto"/>
          </w:divBdr>
        </w:div>
      </w:divsChild>
    </w:div>
    <w:div w:id="1875533055">
      <w:bodyDiv w:val="1"/>
      <w:marLeft w:val="0"/>
      <w:marRight w:val="0"/>
      <w:marTop w:val="0"/>
      <w:marBottom w:val="0"/>
      <w:divBdr>
        <w:top w:val="none" w:sz="0" w:space="0" w:color="auto"/>
        <w:left w:val="none" w:sz="0" w:space="0" w:color="auto"/>
        <w:bottom w:val="none" w:sz="0" w:space="0" w:color="auto"/>
        <w:right w:val="none" w:sz="0" w:space="0" w:color="auto"/>
      </w:divBdr>
    </w:div>
    <w:div w:id="1884364708">
      <w:bodyDiv w:val="1"/>
      <w:marLeft w:val="0"/>
      <w:marRight w:val="0"/>
      <w:marTop w:val="0"/>
      <w:marBottom w:val="0"/>
      <w:divBdr>
        <w:top w:val="none" w:sz="0" w:space="0" w:color="auto"/>
        <w:left w:val="none" w:sz="0" w:space="0" w:color="auto"/>
        <w:bottom w:val="none" w:sz="0" w:space="0" w:color="auto"/>
        <w:right w:val="none" w:sz="0" w:space="0" w:color="auto"/>
      </w:divBdr>
    </w:div>
    <w:div w:id="1909030234">
      <w:bodyDiv w:val="1"/>
      <w:marLeft w:val="0"/>
      <w:marRight w:val="0"/>
      <w:marTop w:val="0"/>
      <w:marBottom w:val="0"/>
      <w:divBdr>
        <w:top w:val="none" w:sz="0" w:space="0" w:color="auto"/>
        <w:left w:val="none" w:sz="0" w:space="0" w:color="auto"/>
        <w:bottom w:val="none" w:sz="0" w:space="0" w:color="auto"/>
        <w:right w:val="none" w:sz="0" w:space="0" w:color="auto"/>
      </w:divBdr>
    </w:div>
    <w:div w:id="1976983373">
      <w:bodyDiv w:val="1"/>
      <w:marLeft w:val="0"/>
      <w:marRight w:val="0"/>
      <w:marTop w:val="0"/>
      <w:marBottom w:val="0"/>
      <w:divBdr>
        <w:top w:val="none" w:sz="0" w:space="0" w:color="auto"/>
        <w:left w:val="none" w:sz="0" w:space="0" w:color="auto"/>
        <w:bottom w:val="none" w:sz="0" w:space="0" w:color="auto"/>
        <w:right w:val="none" w:sz="0" w:space="0" w:color="auto"/>
      </w:divBdr>
    </w:div>
    <w:div w:id="20173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Drougas, Anne</dc:creator>
  <cp:keywords/>
  <dc:description/>
  <cp:lastModifiedBy>Kenney, Lauren</cp:lastModifiedBy>
  <cp:revision>3</cp:revision>
  <dcterms:created xsi:type="dcterms:W3CDTF">2021-01-05T19:39:00Z</dcterms:created>
  <dcterms:modified xsi:type="dcterms:W3CDTF">2021-01-05T19:46:00Z</dcterms:modified>
</cp:coreProperties>
</file>